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42511" w:rsidRPr="00242511" w:rsidRDefault="00242511" w:rsidP="00D95BBE">
      <w:pPr>
        <w:pStyle w:val="A5"/>
        <w:spacing w:line="360" w:lineRule="auto"/>
        <w:rPr>
          <w:rFonts w:ascii="Times New Roman" w:eastAsia="宋体" w:hAnsi="Times New Roman" w:cs="Times New Roman"/>
          <w:sz w:val="24"/>
          <w:szCs w:val="24"/>
          <w:lang w:val="zh-TW"/>
        </w:rPr>
      </w:pPr>
      <w:r w:rsidRPr="00242511">
        <w:rPr>
          <w:rFonts w:ascii="Times New Roman" w:eastAsia="宋体" w:hAnsi="Times New Roman" w:cs="Times New Roman"/>
          <w:sz w:val="24"/>
          <w:szCs w:val="24"/>
          <w:lang w:val="zh-TW"/>
        </w:rPr>
        <w:t>钟秀颖</w:t>
      </w:r>
      <w:r w:rsidRPr="00242511">
        <w:rPr>
          <w:rFonts w:ascii="Times New Roman" w:eastAsia="宋体" w:hAnsi="Times New Roman" w:cs="Times New Roman"/>
          <w:sz w:val="24"/>
          <w:szCs w:val="24"/>
          <w:lang w:val="zh-TW"/>
        </w:rPr>
        <w:t xml:space="preserve"> </w:t>
      </w:r>
      <w:r w:rsidRPr="00242511">
        <w:rPr>
          <w:rFonts w:ascii="Times New Roman" w:eastAsia="宋体" w:hAnsi="Times New Roman" w:cs="Times New Roman"/>
          <w:sz w:val="24"/>
          <w:szCs w:val="24"/>
          <w:lang w:val="zh-TW"/>
        </w:rPr>
        <w:t>博士</w:t>
      </w:r>
    </w:p>
    <w:p w:rsidR="00242511" w:rsidRPr="00242511" w:rsidRDefault="00242511" w:rsidP="00D95BBE">
      <w:pPr>
        <w:pStyle w:val="A5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242511">
        <w:rPr>
          <w:rFonts w:ascii="Times New Roman" w:eastAsia="宋体" w:hAnsi="Times New Roman" w:cs="Times New Roman"/>
          <w:sz w:val="24"/>
          <w:szCs w:val="24"/>
          <w:lang w:val="zh-TW"/>
        </w:rPr>
        <w:t>Xiuying Zhong</w:t>
      </w:r>
      <w:r w:rsidRPr="00242511">
        <w:rPr>
          <w:rFonts w:ascii="Times New Roman" w:eastAsia="宋体" w:hAnsi="Times New Roman" w:cs="Times New Roman"/>
          <w:sz w:val="24"/>
          <w:szCs w:val="24"/>
        </w:rPr>
        <w:t>, Ph.D.</w:t>
      </w:r>
    </w:p>
    <w:p w:rsidR="00242511" w:rsidRPr="00242511" w:rsidRDefault="00242511" w:rsidP="00D95BBE">
      <w:pPr>
        <w:pStyle w:val="A5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242511">
        <w:rPr>
          <w:rFonts w:ascii="Times New Roman" w:eastAsia="宋体" w:hAnsi="Times New Roman" w:cs="Times New Roman"/>
          <w:sz w:val="24"/>
          <w:szCs w:val="24"/>
        </w:rPr>
        <w:t>南方医科大学附属广东省人民医院</w:t>
      </w:r>
      <w:r w:rsidRPr="0024251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242511">
        <w:rPr>
          <w:rFonts w:ascii="Times New Roman" w:eastAsia="宋体" w:hAnsi="Times New Roman" w:cs="Times New Roman"/>
          <w:sz w:val="24"/>
          <w:szCs w:val="24"/>
        </w:rPr>
        <w:t>医学科学研究中心</w:t>
      </w:r>
    </w:p>
    <w:p w:rsidR="00242511" w:rsidRPr="00242511" w:rsidRDefault="00242511" w:rsidP="00D95BBE">
      <w:pPr>
        <w:pStyle w:val="A5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242511">
        <w:rPr>
          <w:rFonts w:ascii="Times New Roman" w:eastAsia="宋体" w:hAnsi="Times New Roman" w:cs="Times New Roman"/>
          <w:sz w:val="24"/>
          <w:szCs w:val="24"/>
        </w:rPr>
        <w:t>生物学</w:t>
      </w:r>
      <w:r w:rsidRPr="0024251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242511">
        <w:rPr>
          <w:rFonts w:ascii="Times New Roman" w:eastAsia="宋体" w:hAnsi="Times New Roman" w:cs="Times New Roman"/>
          <w:sz w:val="24"/>
          <w:szCs w:val="24"/>
        </w:rPr>
        <w:t>肿瘤代谢与免疫</w:t>
      </w:r>
    </w:p>
    <w:p w:rsidR="00242511" w:rsidRPr="00242511" w:rsidRDefault="00242511" w:rsidP="00D95BBE">
      <w:pPr>
        <w:pStyle w:val="A5"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242511">
        <w:rPr>
          <w:rFonts w:ascii="Times New Roman" w:eastAsia="宋体" w:hAnsi="Times New Roman" w:cs="Times New Roman"/>
          <w:sz w:val="24"/>
          <w:szCs w:val="24"/>
        </w:rPr>
        <w:t>邮箱：</w:t>
      </w:r>
      <w:r w:rsidRPr="00242511">
        <w:rPr>
          <w:rFonts w:ascii="Times New Roman" w:eastAsia="宋体" w:hAnsi="Times New Roman" w:cs="Times New Roman"/>
          <w:sz w:val="24"/>
          <w:szCs w:val="24"/>
        </w:rPr>
        <w:t>zxywawj@ustc.edu.cn</w:t>
      </w:r>
    </w:p>
    <w:p w:rsidR="00242511" w:rsidRPr="00242511" w:rsidRDefault="00242511" w:rsidP="00D95BBE">
      <w:pPr>
        <w:pStyle w:val="A5"/>
        <w:spacing w:line="360" w:lineRule="auto"/>
        <w:rPr>
          <w:rFonts w:ascii="Times New Roman" w:eastAsia="宋体" w:hAnsi="Times New Roman" w:cs="Times New Roman"/>
          <w:sz w:val="24"/>
          <w:szCs w:val="24"/>
          <w:lang w:val="zh-TW"/>
        </w:rPr>
      </w:pPr>
    </w:p>
    <w:p w:rsidR="00242511" w:rsidRPr="00242511" w:rsidRDefault="00242511" w:rsidP="00D95BBE">
      <w:pPr>
        <w:pStyle w:val="A5"/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  <w:lang w:val="zh-TW"/>
        </w:rPr>
      </w:pPr>
      <w:r w:rsidRPr="00242511">
        <w:rPr>
          <w:rFonts w:ascii="Times New Roman" w:eastAsia="宋体" w:hAnsi="Times New Roman" w:cs="Times New Roman"/>
          <w:b/>
          <w:bCs/>
          <w:noProof/>
          <w:sz w:val="24"/>
          <w:szCs w:val="24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43815</wp:posOffset>
            </wp:positionH>
            <wp:positionV relativeFrom="line">
              <wp:posOffset>31432</wp:posOffset>
            </wp:positionV>
            <wp:extent cx="1570356" cy="2336800"/>
            <wp:effectExtent l="0" t="0" r="0" b="0"/>
            <wp:wrapSquare wrapText="bothSides" distT="57150" distB="57150" distL="57150" distR="57150"/>
            <wp:docPr id="1073741825" name="officeArt object" descr="钟秀颖-照片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钟秀颖-照片.jpeg" descr="钟秀颖-照片.jpe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70356" cy="23368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242511">
        <w:rPr>
          <w:rFonts w:ascii="Times New Roman" w:eastAsia="宋体" w:hAnsi="Times New Roman" w:cs="Times New Roman" w:hint="eastAsia"/>
          <w:b/>
          <w:bCs/>
          <w:sz w:val="24"/>
          <w:szCs w:val="24"/>
          <w:lang w:val="zh-TW"/>
        </w:rPr>
        <w:t>个人简介</w:t>
      </w:r>
    </w:p>
    <w:p w:rsidR="00242511" w:rsidRDefault="00F639F6" w:rsidP="00D95BBE">
      <w:pPr>
        <w:pStyle w:val="A5"/>
        <w:spacing w:line="360" w:lineRule="auto"/>
        <w:rPr>
          <w:rFonts w:ascii="Times New Roman" w:eastAsia="宋体" w:hAnsi="Times New Roman" w:cs="Times New Roman"/>
          <w:sz w:val="24"/>
          <w:szCs w:val="24"/>
          <w:lang w:val="zh-TW"/>
        </w:rPr>
      </w:pP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钟秀颖，</w:t>
      </w:r>
      <w:r w:rsidRPr="00242511">
        <w:rPr>
          <w:rFonts w:ascii="Times New Roman" w:eastAsia="宋体" w:hAnsi="Times New Roman" w:cs="Times New Roman"/>
          <w:sz w:val="24"/>
          <w:szCs w:val="24"/>
          <w:lang w:val="zh-CN"/>
        </w:rPr>
        <w:t>博士，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广东省人民医院</w:t>
      </w:r>
      <w:r w:rsidRPr="00242511">
        <w:rPr>
          <w:rFonts w:ascii="Times New Roman" w:eastAsia="宋体" w:hAnsi="Times New Roman" w:cs="Times New Roman"/>
          <w:sz w:val="24"/>
          <w:szCs w:val="24"/>
          <w:lang w:val="zh-CN"/>
        </w:rPr>
        <w:t>副研究员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、</w:t>
      </w:r>
      <w:r w:rsidRPr="00242511">
        <w:rPr>
          <w:rFonts w:ascii="Times New Roman" w:eastAsia="宋体" w:hAnsi="Times New Roman" w:cs="Times New Roman"/>
          <w:sz w:val="24"/>
          <w:szCs w:val="24"/>
          <w:lang w:val="zh-CN"/>
        </w:rPr>
        <w:t>博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士生导师</w:t>
      </w:r>
      <w:r w:rsidRPr="00242511">
        <w:rPr>
          <w:rFonts w:ascii="Times New Roman" w:eastAsia="宋体" w:hAnsi="Times New Roman" w:cs="Times New Roman"/>
          <w:sz w:val="24"/>
          <w:szCs w:val="24"/>
          <w:lang w:val="zh-CN"/>
        </w:rPr>
        <w:t>，国家自然科学基金优秀青年项目获得者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。</w:t>
      </w:r>
      <w:r w:rsidRPr="00242511">
        <w:rPr>
          <w:rFonts w:ascii="Times New Roman" w:eastAsia="宋体" w:hAnsi="Times New Roman" w:cs="Times New Roman"/>
          <w:sz w:val="24"/>
          <w:szCs w:val="24"/>
        </w:rPr>
        <w:t>2006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年</w:t>
      </w:r>
      <w:r w:rsidRPr="00242511">
        <w:rPr>
          <w:rFonts w:ascii="Times New Roman" w:eastAsia="宋体" w:hAnsi="Times New Roman" w:cs="Times New Roman"/>
          <w:sz w:val="24"/>
          <w:szCs w:val="24"/>
        </w:rPr>
        <w:t>7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月在内蒙古大学获得理学学士学位，</w:t>
      </w:r>
      <w:r w:rsidRPr="00242511">
        <w:rPr>
          <w:rFonts w:ascii="Times New Roman" w:eastAsia="宋体" w:hAnsi="Times New Roman" w:cs="Times New Roman"/>
          <w:sz w:val="24"/>
          <w:szCs w:val="24"/>
        </w:rPr>
        <w:t>2012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年</w:t>
      </w:r>
      <w:r w:rsidRPr="00242511">
        <w:rPr>
          <w:rFonts w:ascii="Times New Roman" w:eastAsia="宋体" w:hAnsi="Times New Roman" w:cs="Times New Roman"/>
          <w:sz w:val="24"/>
          <w:szCs w:val="24"/>
        </w:rPr>
        <w:t>9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月在日本新潟大学获得博士学位。</w:t>
      </w:r>
      <w:r w:rsidRPr="00242511">
        <w:rPr>
          <w:rFonts w:ascii="Times New Roman" w:eastAsia="宋体" w:hAnsi="Times New Roman" w:cs="Times New Roman"/>
          <w:sz w:val="24"/>
          <w:szCs w:val="24"/>
        </w:rPr>
        <w:t>2012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年</w:t>
      </w:r>
      <w:r w:rsidRPr="00242511">
        <w:rPr>
          <w:rFonts w:ascii="Times New Roman" w:eastAsia="宋体" w:hAnsi="Times New Roman" w:cs="Times New Roman"/>
          <w:sz w:val="24"/>
          <w:szCs w:val="24"/>
        </w:rPr>
        <w:t>12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月开始分别于中国科学技术大学、华南理工大学以博士后和副研究员身份从事研究工作。</w:t>
      </w:r>
      <w:r w:rsidRPr="00242511">
        <w:rPr>
          <w:rFonts w:ascii="Times New Roman" w:eastAsia="宋体" w:hAnsi="Times New Roman" w:cs="Times New Roman"/>
          <w:sz w:val="24"/>
          <w:szCs w:val="24"/>
          <w:lang w:eastAsia="zh-TW"/>
        </w:rPr>
        <w:t>2021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年</w:t>
      </w:r>
      <w:r w:rsidRPr="00242511">
        <w:rPr>
          <w:rFonts w:ascii="Times New Roman" w:eastAsia="宋体" w:hAnsi="Times New Roman" w:cs="Times New Roman"/>
          <w:sz w:val="24"/>
          <w:szCs w:val="24"/>
          <w:lang w:eastAsia="zh-TW"/>
        </w:rPr>
        <w:t>12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月加入广东省人民医院。</w:t>
      </w:r>
    </w:p>
    <w:p w:rsidR="00242511" w:rsidRDefault="00242511" w:rsidP="00D95BBE">
      <w:pPr>
        <w:pStyle w:val="A5"/>
        <w:spacing w:line="360" w:lineRule="auto"/>
        <w:rPr>
          <w:rFonts w:ascii="Times New Roman" w:eastAsia="宋体" w:hAnsi="Times New Roman" w:cs="Times New Roman" w:hint="eastAsia"/>
          <w:sz w:val="24"/>
          <w:szCs w:val="24"/>
          <w:lang w:val="zh-TW"/>
        </w:rPr>
      </w:pPr>
    </w:p>
    <w:p w:rsidR="00242511" w:rsidRPr="00242511" w:rsidRDefault="00242511" w:rsidP="00D95BBE">
      <w:pPr>
        <w:pStyle w:val="A5"/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  <w:lang w:val="zh-TW"/>
        </w:rPr>
      </w:pPr>
      <w:r w:rsidRPr="00242511">
        <w:rPr>
          <w:rFonts w:ascii="Times New Roman" w:eastAsia="宋体" w:hAnsi="Times New Roman" w:cs="Times New Roman" w:hint="eastAsia"/>
          <w:b/>
          <w:bCs/>
          <w:sz w:val="24"/>
          <w:szCs w:val="24"/>
          <w:lang w:val="zh-TW"/>
        </w:rPr>
        <w:t>学术成果及研究方向</w:t>
      </w:r>
    </w:p>
    <w:p w:rsidR="00F639F6" w:rsidRDefault="00F639F6" w:rsidP="00242511">
      <w:pPr>
        <w:pStyle w:val="A5"/>
        <w:spacing w:line="360" w:lineRule="auto"/>
        <w:ind w:firstLineChars="150" w:firstLine="360"/>
        <w:rPr>
          <w:rFonts w:ascii="Times New Roman" w:eastAsia="宋体" w:hAnsi="Times New Roman" w:cs="Times New Roman"/>
          <w:sz w:val="24"/>
          <w:szCs w:val="24"/>
          <w:lang w:val="zh-TW"/>
        </w:rPr>
      </w:pP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主要致力于代谢调控</w:t>
      </w:r>
      <w:r w:rsidRPr="00242511">
        <w:rPr>
          <w:rFonts w:ascii="Times New Roman" w:eastAsia="宋体" w:hAnsi="Times New Roman" w:cs="Times New Roman"/>
          <w:sz w:val="24"/>
          <w:szCs w:val="24"/>
          <w:lang w:val="zh-CN" w:eastAsia="zh-TW"/>
        </w:rPr>
        <w:t>细胞命运和肿瘤进展相关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研究，取得了系列创新性研究成果，并以论文形式发表在</w:t>
      </w:r>
      <w:r w:rsidRPr="00242511">
        <w:rPr>
          <w:rFonts w:ascii="Times New Roman" w:eastAsia="宋体" w:hAnsi="Times New Roman" w:cs="Times New Roman"/>
          <w:sz w:val="24"/>
          <w:szCs w:val="24"/>
          <w:lang w:eastAsia="zh-TW"/>
        </w:rPr>
        <w:t>Cell Metabolism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、</w:t>
      </w:r>
      <w:r w:rsidRPr="00242511">
        <w:rPr>
          <w:rFonts w:ascii="Times New Roman" w:eastAsia="宋体" w:hAnsi="Times New Roman" w:cs="Times New Roman"/>
          <w:sz w:val="24"/>
          <w:szCs w:val="24"/>
          <w:lang w:eastAsia="zh-TW"/>
        </w:rPr>
        <w:t>Cell Research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、</w:t>
      </w:r>
      <w:r w:rsidRPr="00242511">
        <w:rPr>
          <w:rFonts w:ascii="Times New Roman" w:eastAsia="宋体" w:hAnsi="Times New Roman" w:cs="Times New Roman"/>
          <w:sz w:val="24"/>
          <w:szCs w:val="24"/>
          <w:lang w:val="zh-CN" w:eastAsia="zh-TW"/>
        </w:rPr>
        <w:t>Nature Communications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等期刊。研究成果得到了</w:t>
      </w:r>
      <w:r w:rsidRPr="00242511">
        <w:rPr>
          <w:rFonts w:ascii="Times New Roman" w:eastAsia="宋体" w:hAnsi="Times New Roman" w:cs="Times New Roman"/>
          <w:sz w:val="24"/>
          <w:szCs w:val="24"/>
          <w:lang w:eastAsia="zh-TW"/>
        </w:rPr>
        <w:t>Nature Reviews Molecular Cell Biology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专文述评、</w:t>
      </w:r>
      <w:r w:rsidRPr="00242511">
        <w:rPr>
          <w:rFonts w:ascii="Times New Roman" w:eastAsia="宋体" w:hAnsi="Times New Roman" w:cs="Times New Roman"/>
          <w:sz w:val="24"/>
          <w:szCs w:val="24"/>
          <w:lang w:eastAsia="zh-TW"/>
        </w:rPr>
        <w:t>F1000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亮点推荐及</w:t>
      </w:r>
      <w:r w:rsidRPr="00242511">
        <w:rPr>
          <w:rFonts w:ascii="Times New Roman" w:eastAsia="宋体" w:hAnsi="Times New Roman" w:cs="Times New Roman"/>
          <w:sz w:val="24"/>
          <w:szCs w:val="24"/>
          <w:lang w:eastAsia="zh-TW"/>
        </w:rPr>
        <w:t>ESC &amp; iPSC News Top Story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推荐</w:t>
      </w:r>
      <w:r w:rsidR="00242511" w:rsidRPr="00242511">
        <w:rPr>
          <w:rFonts w:ascii="Times New Roman" w:eastAsia="宋体" w:hAnsi="Times New Roman" w:cs="Times New Roman"/>
          <w:sz w:val="24"/>
          <w:szCs w:val="24"/>
          <w:lang w:eastAsia="zh-TW"/>
        </w:rPr>
        <w:t>，入选</w:t>
      </w:r>
      <w:r w:rsidR="00242511" w:rsidRPr="00242511">
        <w:rPr>
          <w:rFonts w:ascii="Times New Roman" w:eastAsia="宋体" w:hAnsi="Times New Roman" w:cs="Times New Roman"/>
          <w:sz w:val="24"/>
          <w:szCs w:val="24"/>
          <w:lang w:eastAsia="zh-TW"/>
        </w:rPr>
        <w:t>ESI</w:t>
      </w:r>
      <w:r w:rsidR="00242511" w:rsidRPr="00242511">
        <w:rPr>
          <w:rFonts w:ascii="Times New Roman" w:eastAsia="宋体" w:hAnsi="Times New Roman" w:cs="Times New Roman"/>
          <w:sz w:val="24"/>
          <w:szCs w:val="24"/>
          <w:lang w:eastAsia="zh-TW"/>
        </w:rPr>
        <w:t>高被引论文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。主持国家自然科学基金委</w:t>
      </w:r>
      <w:r w:rsidRPr="00242511">
        <w:rPr>
          <w:rFonts w:ascii="Times New Roman" w:eastAsia="宋体" w:hAnsi="Times New Roman" w:cs="Times New Roman"/>
          <w:sz w:val="24"/>
          <w:szCs w:val="24"/>
          <w:lang w:val="zh-CN"/>
        </w:rPr>
        <w:t>优秀青年基金、</w:t>
      </w:r>
      <w:r w:rsidRPr="00242511">
        <w:rPr>
          <w:rFonts w:ascii="Times New Roman" w:eastAsia="宋体" w:hAnsi="Times New Roman" w:cs="Times New Roman"/>
          <w:sz w:val="24"/>
          <w:szCs w:val="24"/>
          <w:lang w:val="zh-TW" w:eastAsia="zh-TW"/>
        </w:rPr>
        <w:t>面上项目等项目</w:t>
      </w:r>
      <w:r w:rsidRPr="00242511">
        <w:rPr>
          <w:rFonts w:ascii="Times New Roman" w:eastAsia="宋体" w:hAnsi="Times New Roman" w:cs="Times New Roman"/>
          <w:sz w:val="24"/>
          <w:szCs w:val="24"/>
          <w:lang w:val="zh-TW"/>
        </w:rPr>
        <w:t>。</w:t>
      </w:r>
    </w:p>
    <w:p w:rsidR="00242511" w:rsidRPr="00242511" w:rsidRDefault="00242511" w:rsidP="00242511">
      <w:pPr>
        <w:pStyle w:val="A5"/>
        <w:spacing w:line="360" w:lineRule="auto"/>
        <w:rPr>
          <w:rFonts w:ascii="Times New Roman" w:eastAsia="宋体" w:hAnsi="Times New Roman" w:cs="Times New Roman" w:hint="eastAsia"/>
          <w:b/>
          <w:bCs/>
          <w:sz w:val="24"/>
          <w:szCs w:val="24"/>
          <w:lang w:val="zh-TW"/>
        </w:rPr>
      </w:pPr>
      <w:r w:rsidRPr="00242511">
        <w:rPr>
          <w:rFonts w:ascii="Times New Roman" w:eastAsia="宋体" w:hAnsi="Times New Roman" w:cs="Times New Roman" w:hint="eastAsia"/>
          <w:b/>
          <w:bCs/>
          <w:sz w:val="24"/>
          <w:szCs w:val="24"/>
          <w:lang w:val="zh-TW"/>
        </w:rPr>
        <w:t>代表论文</w:t>
      </w:r>
    </w:p>
    <w:p w:rsidR="00B71474" w:rsidRPr="00B71474" w:rsidRDefault="00B71474" w:rsidP="00B71474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jc w:val="both"/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</w:pP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Liu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S</w:t>
      </w: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#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Cai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J</w:t>
      </w: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#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Qian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X,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Zhang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J,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Zhang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Y,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Meng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X,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Wang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M,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Gao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P*, </w:t>
      </w:r>
      <w:proofErr w:type="spellStart"/>
      <w:r w:rsidRPr="00B71474">
        <w:rPr>
          <w:rFonts w:eastAsia="DengXian"/>
          <w:b/>
          <w:bCs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Zhong</w:t>
      </w:r>
      <w:proofErr w:type="spellEnd"/>
      <w:r w:rsidRPr="00B71474">
        <w:rPr>
          <w:rFonts w:eastAsia="DengXian"/>
          <w:b/>
          <w:bCs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X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*.</w:t>
      </w: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(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2025) 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TPX2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lactylation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is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required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for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the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cell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cycle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regulation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and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hepatocellular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carcinoma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progression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. </w:t>
      </w:r>
      <w:r w:rsidRPr="00B71474">
        <w:rPr>
          <w:rFonts w:eastAsia="DengXian"/>
          <w:b/>
          <w:bCs/>
          <w:i/>
          <w:iCs/>
          <w:color w:val="000000"/>
          <w:kern w:val="2"/>
          <w:sz w:val="21"/>
          <w:szCs w:val="21"/>
          <w:bdr w:val="none" w:sz="0" w:space="0" w:color="auto"/>
          <w:lang w:eastAsia="zh-CN"/>
        </w:rPr>
        <w:t>Life Science Alliance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. 8(6</w:t>
      </w:r>
      <w:proofErr w:type="gram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):e</w:t>
      </w:r>
      <w:proofErr w:type="gram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202402978.</w:t>
      </w:r>
    </w:p>
    <w:p w:rsidR="00B71474" w:rsidRPr="00B71474" w:rsidRDefault="00B71474" w:rsidP="00B71474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jc w:val="both"/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</w:pP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Qian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X#,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Cai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J#,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Zhang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Y,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Shen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S,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Wang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M,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Liu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S,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Meng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X,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Zhang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J, Ye Z,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Qiu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S, </w:t>
      </w:r>
      <w:proofErr w:type="spellStart"/>
      <w:r w:rsidRPr="00B71474">
        <w:rPr>
          <w:rFonts w:eastAsia="DengXian"/>
          <w:b/>
          <w:bCs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Zhong</w:t>
      </w:r>
      <w:proofErr w:type="spellEnd"/>
      <w:r w:rsidRPr="00B71474">
        <w:rPr>
          <w:rFonts w:eastAsia="DengXian"/>
          <w:b/>
          <w:bCs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X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*,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Gao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P*.</w:t>
      </w: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(2024) 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EPDR1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promotes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PD-L1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expression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and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tumor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immune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evasion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by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inhibiting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TRIM21-dependent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ubiquitylation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of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IkappaB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kinase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-β. </w:t>
      </w:r>
      <w:r w:rsidRPr="00B71474">
        <w:rPr>
          <w:rFonts w:eastAsia="DengXian"/>
          <w:b/>
          <w:bCs/>
          <w:i/>
          <w:iCs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The EMBO </w:t>
      </w:r>
      <w:proofErr w:type="spellStart"/>
      <w:r w:rsidRPr="00B71474">
        <w:rPr>
          <w:rFonts w:eastAsia="DengXian"/>
          <w:b/>
          <w:bCs/>
          <w:i/>
          <w:iCs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Journal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. 43(19):4248-4273.</w:t>
      </w:r>
    </w:p>
    <w:p w:rsidR="00B71474" w:rsidRPr="00B71474" w:rsidRDefault="00B71474" w:rsidP="00B71474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jc w:val="both"/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</w:pP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Zhang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Y#,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Wang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M#, Ye L#,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Shen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S,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Zhang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Y,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Qian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X,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Zhang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T,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Yuan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M, Ye Z,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Cai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J,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Meng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X,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Qiu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S,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Liu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S,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Liu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R,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Jia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W,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Yang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X</w:t>
      </w: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*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Zhang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H</w:t>
      </w: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*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, </w:t>
      </w:r>
      <w:proofErr w:type="spellStart"/>
      <w:r w:rsidRPr="00B71474">
        <w:rPr>
          <w:rFonts w:eastAsia="DengXian"/>
          <w:b/>
          <w:bCs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Zhong</w:t>
      </w:r>
      <w:proofErr w:type="spellEnd"/>
      <w:r w:rsidRPr="00B71474">
        <w:rPr>
          <w:rFonts w:eastAsia="DengXian"/>
          <w:b/>
          <w:bCs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X</w:t>
      </w: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*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,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Gao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P</w:t>
      </w: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*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. (</w:t>
      </w: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2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024)</w:t>
      </w: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HKDC1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promotes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tumor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immune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evasion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in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hepatocellular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carcinoma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by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coupling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cytoskeleton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to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STAT1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activation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and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PD-L1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expression</w:t>
      </w:r>
      <w:proofErr w:type="spellEnd"/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.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</w:t>
      </w:r>
      <w:proofErr w:type="spellStart"/>
      <w:r w:rsidRPr="00B71474">
        <w:rPr>
          <w:rFonts w:eastAsia="DengXian"/>
          <w:b/>
          <w:bCs/>
          <w:i/>
          <w:iCs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Nature</w:t>
      </w:r>
      <w:proofErr w:type="spellEnd"/>
      <w:r w:rsidRPr="00B71474">
        <w:rPr>
          <w:rFonts w:eastAsia="DengXian"/>
          <w:b/>
          <w:bCs/>
          <w:i/>
          <w:iCs/>
          <w:color w:val="000000"/>
          <w:kern w:val="2"/>
          <w:sz w:val="21"/>
          <w:szCs w:val="21"/>
          <w:bdr w:val="none" w:sz="0" w:space="0" w:color="auto"/>
          <w:lang w:val="zu-ZA" w:eastAsia="zh-CN"/>
        </w:rPr>
        <w:t xml:space="preserve"> Communications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val="zu-ZA" w:eastAsia="zh-CN"/>
        </w:rPr>
        <w:t>.15(1):1314.</w:t>
      </w:r>
    </w:p>
    <w:p w:rsidR="00B71474" w:rsidRPr="00B71474" w:rsidRDefault="00B71474" w:rsidP="00B71474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jc w:val="both"/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</w:pP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eastAsia="zh-CN"/>
        </w:rPr>
        <w:t>Q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iu S#, </w:t>
      </w:r>
      <w:r w:rsidRPr="00B71474">
        <w:rPr>
          <w:rFonts w:eastAsia="DengXian"/>
          <w:b/>
          <w:color w:val="000000"/>
          <w:kern w:val="2"/>
          <w:sz w:val="21"/>
          <w:szCs w:val="21"/>
          <w:bdr w:val="none" w:sz="0" w:space="0" w:color="auto"/>
          <w:lang w:eastAsia="zh-CN"/>
        </w:rPr>
        <w:t>Zhong X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#*, Meng X#, Li S, Qian X, Lu H, Cai J, Zhang Y, Wang M, Ye Z, Zhang H*, Gao P*. (2023) Mitochondria-localized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cGAS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 suppresses ferroptosis to promote cancer progression. </w:t>
      </w:r>
      <w:r w:rsidRPr="00B71474">
        <w:rPr>
          <w:rFonts w:eastAsia="DengXian"/>
          <w:b/>
          <w:i/>
          <w:color w:val="000000"/>
          <w:kern w:val="2"/>
          <w:sz w:val="21"/>
          <w:szCs w:val="21"/>
          <w:bdr w:val="none" w:sz="0" w:space="0" w:color="auto"/>
          <w:lang w:eastAsia="zh-CN"/>
        </w:rPr>
        <w:t>Cell Research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. 33(4):299-311.</w:t>
      </w:r>
    </w:p>
    <w:p w:rsidR="00B71474" w:rsidRPr="00B71474" w:rsidRDefault="00B71474" w:rsidP="00B71474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jc w:val="both"/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</w:pP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lastRenderedPageBreak/>
        <w:t xml:space="preserve">Wei H#, Ma W#, Lu X, Liu H, Lin K, Sun L, Huang Z, Cheng EY., Zhang H, Gao P*, </w:t>
      </w:r>
      <w:r w:rsidRPr="00B71474">
        <w:rPr>
          <w:rFonts w:eastAsia="DengXian"/>
          <w:b/>
          <w:bCs/>
          <w:color w:val="000000"/>
          <w:kern w:val="2"/>
          <w:sz w:val="21"/>
          <w:szCs w:val="21"/>
          <w:bdr w:val="none" w:sz="0" w:space="0" w:color="auto"/>
          <w:lang w:eastAsia="zh-CN"/>
        </w:rPr>
        <w:t>Zhong X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*</w:t>
      </w:r>
      <w:r w:rsidRPr="00B71474">
        <w:rPr>
          <w:rFonts w:eastAsia="DengXian" w:hint="eastAsia"/>
          <w:color w:val="000000"/>
          <w:kern w:val="2"/>
          <w:sz w:val="21"/>
          <w:szCs w:val="21"/>
          <w:bdr w:val="none" w:sz="0" w:space="0" w:color="auto"/>
          <w:lang w:eastAsia="zh-CN"/>
        </w:rPr>
        <w:t>.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 (2021) </w:t>
      </w:r>
      <w:bookmarkStart w:id="0" w:name="_Hlk167789443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KDELR2 promotes breast cancer proliferation via HDAC3-mediated cell cycle progression</w:t>
      </w:r>
      <w:bookmarkEnd w:id="0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. </w:t>
      </w:r>
      <w:bookmarkStart w:id="1" w:name="_Hlk167789174"/>
      <w:r w:rsidRPr="00B71474">
        <w:rPr>
          <w:rFonts w:eastAsia="DengXian"/>
          <w:b/>
          <w:bCs/>
          <w:i/>
          <w:iCs/>
          <w:color w:val="000000"/>
          <w:kern w:val="2"/>
          <w:sz w:val="21"/>
          <w:szCs w:val="21"/>
          <w:bdr w:val="none" w:sz="0" w:space="0" w:color="auto"/>
          <w:lang w:eastAsia="zh-CN"/>
        </w:rPr>
        <w:t>Cancer Communications</w:t>
      </w:r>
      <w:bookmarkEnd w:id="1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. 41(9):904-920.</w:t>
      </w:r>
    </w:p>
    <w:p w:rsidR="00B71474" w:rsidRPr="00B71474" w:rsidRDefault="00B71474" w:rsidP="00B71474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jc w:val="both"/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</w:pP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Wang Y#, Lu H#, Sun L, Chen X, Wei H, Suo C, Feng J, Yuan M, Shen S, Jia W, Wang Y, Zhang H*, Li Z*, </w:t>
      </w:r>
      <w:r w:rsidRPr="00B71474">
        <w:rPr>
          <w:rFonts w:eastAsia="DengXian"/>
          <w:b/>
          <w:color w:val="000000"/>
          <w:kern w:val="2"/>
          <w:sz w:val="21"/>
          <w:szCs w:val="21"/>
          <w:bdr w:val="none" w:sz="0" w:space="0" w:color="auto"/>
          <w:lang w:eastAsia="zh-CN"/>
        </w:rPr>
        <w:t>Zhong X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*, Gao P*. (2021) </w:t>
      </w:r>
      <w:bookmarkStart w:id="2" w:name="_Hlk167789875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Metformin sensitizes hepatocarcinoma cells to methotrexate by targeting dihydrofolate reductase</w:t>
      </w:r>
      <w:bookmarkEnd w:id="2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. </w:t>
      </w:r>
      <w:bookmarkStart w:id="3" w:name="_Hlk167789917"/>
      <w:r w:rsidRPr="00B71474">
        <w:rPr>
          <w:rFonts w:eastAsia="DengXian"/>
          <w:b/>
          <w:i/>
          <w:color w:val="000000"/>
          <w:kern w:val="2"/>
          <w:sz w:val="21"/>
          <w:szCs w:val="21"/>
          <w:bdr w:val="none" w:sz="0" w:space="0" w:color="auto"/>
          <w:lang w:eastAsia="zh-CN"/>
        </w:rPr>
        <w:t>Cell Death &amp; Disease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. </w:t>
      </w:r>
      <w:bookmarkEnd w:id="3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12: 902.</w:t>
      </w:r>
    </w:p>
    <w:p w:rsidR="00B71474" w:rsidRPr="00B71474" w:rsidRDefault="00B71474" w:rsidP="00B71474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jc w:val="both"/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</w:pPr>
      <w:r w:rsidRPr="00B71474">
        <w:rPr>
          <w:rFonts w:eastAsia="DengXian"/>
          <w:b/>
          <w:bCs/>
          <w:color w:val="000000"/>
          <w:kern w:val="2"/>
          <w:sz w:val="21"/>
          <w:szCs w:val="21"/>
          <w:bdr w:val="none" w:sz="0" w:space="0" w:color="auto"/>
          <w:lang w:eastAsia="zh-CN"/>
        </w:rPr>
        <w:t>Zhong X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, Cui P, Cai Y, Wang L, He X, Long P, Lu K, Yan R, Zhang Y, Pan X, Zhao X, Li W, Zhang H, Zhou Q and Gao P. (2019) Mitochondrial dynamics is critical for the full pluripotency and embryonic developmental potential of pluripotent stem cells.</w:t>
      </w:r>
      <w:bookmarkStart w:id="4" w:name="_Hlk167790668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 </w:t>
      </w:r>
      <w:r w:rsidRPr="00B71474">
        <w:rPr>
          <w:rFonts w:eastAsia="DengXian"/>
          <w:b/>
          <w:bCs/>
          <w:i/>
          <w:iCs/>
          <w:color w:val="000000"/>
          <w:kern w:val="2"/>
          <w:sz w:val="21"/>
          <w:szCs w:val="21"/>
          <w:bdr w:val="none" w:sz="0" w:space="0" w:color="auto"/>
          <w:lang w:eastAsia="zh-CN"/>
        </w:rPr>
        <w:t>Cell Metabolism</w:t>
      </w:r>
      <w:bookmarkEnd w:id="4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. 29(4):979-992.e4.</w:t>
      </w:r>
    </w:p>
    <w:p w:rsidR="00B71474" w:rsidRPr="00B71474" w:rsidRDefault="00B71474" w:rsidP="00B71474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jc w:val="both"/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</w:pP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Tian S#, Feng J#, Cao Y, Shen S, Cai Y, Yang D, Yan R, Wang L, Zhang H, </w:t>
      </w:r>
      <w:r w:rsidRPr="00B71474">
        <w:rPr>
          <w:rFonts w:eastAsia="DengXian"/>
          <w:b/>
          <w:bCs/>
          <w:color w:val="000000"/>
          <w:kern w:val="2"/>
          <w:sz w:val="21"/>
          <w:szCs w:val="21"/>
          <w:bdr w:val="none" w:sz="0" w:space="0" w:color="auto"/>
          <w:lang w:eastAsia="zh-CN"/>
        </w:rPr>
        <w:t>Zhong X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*, and Gao P*. (2019) </w:t>
      </w:r>
      <w:bookmarkStart w:id="5" w:name="_Hlk167791258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Glycine cleavage system determines the fate of pluripotent stem cells via the regulation of senescence and epigenetic modifications</w:t>
      </w:r>
      <w:bookmarkEnd w:id="5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. </w:t>
      </w:r>
      <w:bookmarkStart w:id="6" w:name="_Hlk167791304"/>
      <w:r w:rsidRPr="00B71474">
        <w:rPr>
          <w:rFonts w:eastAsia="DengXian"/>
          <w:b/>
          <w:bCs/>
          <w:i/>
          <w:iCs/>
          <w:color w:val="000000"/>
          <w:kern w:val="2"/>
          <w:sz w:val="21"/>
          <w:szCs w:val="21"/>
          <w:bdr w:val="none" w:sz="0" w:space="0" w:color="auto"/>
          <w:lang w:eastAsia="zh-CN"/>
        </w:rPr>
        <w:t>Life Science Alliance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.</w:t>
      </w:r>
      <w:bookmarkEnd w:id="6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 2(5).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pii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: e201900413.</w:t>
      </w:r>
    </w:p>
    <w:p w:rsidR="00B71474" w:rsidRPr="00B71474" w:rsidRDefault="00B71474" w:rsidP="00B71474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jc w:val="both"/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</w:pPr>
      <w:r w:rsidRPr="00B71474">
        <w:rPr>
          <w:rFonts w:eastAsia="DengXian"/>
          <w:b/>
          <w:bCs/>
          <w:color w:val="000000"/>
          <w:kern w:val="2"/>
          <w:sz w:val="21"/>
          <w:szCs w:val="21"/>
          <w:bdr w:val="none" w:sz="0" w:space="0" w:color="auto"/>
          <w:lang w:eastAsia="zh-CN"/>
        </w:rPr>
        <w:t>Zhong X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#, Tian S#, Zhang X, Diao X, Dong F, Yang J, Li Z, Sun L, Wang L, He X, Wu G, Hu X, Wang L, Song L, Zhang H, Pan X, Li A*, and Gao P*. (2017) </w:t>
      </w:r>
      <w:bookmarkStart w:id="7" w:name="_Hlk167791961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CUE domain-containing protein 2 promotes the Warburg effect and tumorigenesis</w:t>
      </w:r>
      <w:bookmarkEnd w:id="7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. </w:t>
      </w:r>
      <w:bookmarkStart w:id="8" w:name="_Hlk167792010"/>
      <w:r w:rsidRPr="00B71474">
        <w:rPr>
          <w:rFonts w:eastAsia="DengXian"/>
          <w:b/>
          <w:bCs/>
          <w:i/>
          <w:iCs/>
          <w:color w:val="000000"/>
          <w:kern w:val="2"/>
          <w:sz w:val="21"/>
          <w:szCs w:val="21"/>
          <w:bdr w:val="none" w:sz="0" w:space="0" w:color="auto"/>
          <w:lang w:eastAsia="zh-CN"/>
        </w:rPr>
        <w:t>EMBO Reports</w:t>
      </w:r>
      <w:bookmarkEnd w:id="8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. 18(5):809-825.</w:t>
      </w:r>
    </w:p>
    <w:p w:rsidR="00DA452E" w:rsidRDefault="00B71474" w:rsidP="00B71474">
      <w:pPr>
        <w:widowControl w:val="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jc w:val="both"/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</w:pP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Yan R, Zhang P, Shen S, Zeng Y, Wang T, Chen Z, Ma W, Feng J, Suo C, Zhang T, Wei H, Jiang Z, Chen R, Li ST, </w:t>
      </w:r>
      <w:r w:rsidRPr="00B71474">
        <w:rPr>
          <w:rFonts w:eastAsia="DengXian"/>
          <w:b/>
          <w:bCs/>
          <w:color w:val="000000"/>
          <w:kern w:val="2"/>
          <w:sz w:val="21"/>
          <w:szCs w:val="21"/>
          <w:bdr w:val="none" w:sz="0" w:space="0" w:color="auto"/>
          <w:lang w:eastAsia="zh-CN"/>
        </w:rPr>
        <w:t>Zhong X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, Jia W, Sun L, Cang C, Zhang H, Gao P. (2024) Carnosine regulation of intracellular pH homeostasis promotes lysosome-dependent tumor </w:t>
      </w:r>
      <w:proofErr w:type="spellStart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immunoevasion</w:t>
      </w:r>
      <w:proofErr w:type="spellEnd"/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 xml:space="preserve">. </w:t>
      </w:r>
      <w:r w:rsidRPr="00B71474">
        <w:rPr>
          <w:rFonts w:eastAsia="DengXian"/>
          <w:b/>
          <w:bCs/>
          <w:i/>
          <w:iCs/>
          <w:color w:val="000000"/>
          <w:kern w:val="2"/>
          <w:sz w:val="21"/>
          <w:szCs w:val="21"/>
          <w:bdr w:val="none" w:sz="0" w:space="0" w:color="auto"/>
          <w:lang w:eastAsia="zh-CN"/>
        </w:rPr>
        <w:t>Nature Immunology</w:t>
      </w:r>
      <w:r w:rsidRPr="00B71474">
        <w:rPr>
          <w:rFonts w:eastAsia="DengXian"/>
          <w:color w:val="000000"/>
          <w:kern w:val="2"/>
          <w:sz w:val="21"/>
          <w:szCs w:val="21"/>
          <w:bdr w:val="none" w:sz="0" w:space="0" w:color="auto"/>
          <w:lang w:eastAsia="zh-CN"/>
        </w:rPr>
        <w:t>. 25(3):483-495.</w:t>
      </w:r>
    </w:p>
    <w:p w:rsidR="004A467D" w:rsidRPr="004A467D" w:rsidRDefault="004A467D" w:rsidP="004A46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ind w:left="2"/>
        <w:jc w:val="both"/>
        <w:rPr>
          <w:rFonts w:ascii="宋体" w:eastAsia="宋体" w:hAnsi="宋体"/>
          <w:b/>
          <w:bCs/>
          <w:color w:val="000000"/>
          <w:kern w:val="2"/>
          <w:bdr w:val="none" w:sz="0" w:space="0" w:color="auto"/>
          <w:lang w:eastAsia="zh-CN"/>
        </w:rPr>
      </w:pPr>
      <w:r w:rsidRPr="004A467D">
        <w:rPr>
          <w:rFonts w:ascii="宋体" w:eastAsia="宋体" w:hAnsi="宋体" w:hint="eastAsia"/>
          <w:b/>
          <w:bCs/>
          <w:color w:val="000000"/>
          <w:kern w:val="2"/>
          <w:bdr w:val="none" w:sz="0" w:space="0" w:color="auto"/>
          <w:lang w:eastAsia="zh-CN"/>
        </w:rPr>
        <w:t>联系方式</w:t>
      </w:r>
    </w:p>
    <w:p w:rsidR="004A467D" w:rsidRDefault="004A467D" w:rsidP="004A46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ind w:left="2"/>
        <w:jc w:val="both"/>
        <w:rPr>
          <w:rFonts w:ascii="宋体" w:eastAsia="宋体" w:hAnsi="宋体"/>
          <w:color w:val="000000"/>
          <w:kern w:val="2"/>
          <w:bdr w:val="none" w:sz="0" w:space="0" w:color="auto"/>
          <w:lang w:eastAsia="zh-CN"/>
        </w:rPr>
      </w:pPr>
      <w:r>
        <w:rPr>
          <w:rFonts w:ascii="宋体" w:eastAsia="宋体" w:hAnsi="宋体" w:hint="eastAsia"/>
          <w:color w:val="000000"/>
          <w:kern w:val="2"/>
          <w:bdr w:val="none" w:sz="0" w:space="0" w:color="auto"/>
          <w:lang w:eastAsia="zh-CN"/>
        </w:rPr>
        <w:t>办公电话：020-39380987</w:t>
      </w:r>
    </w:p>
    <w:p w:rsidR="004A467D" w:rsidRPr="004A467D" w:rsidRDefault="004A467D" w:rsidP="004A467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Lines="50" w:after="120"/>
        <w:ind w:left="2"/>
        <w:jc w:val="both"/>
        <w:rPr>
          <w:rFonts w:ascii="宋体" w:eastAsia="宋体" w:hAnsi="宋体" w:hint="eastAsia"/>
          <w:color w:val="000000"/>
          <w:kern w:val="2"/>
          <w:bdr w:val="none" w:sz="0" w:space="0" w:color="auto"/>
          <w:lang w:eastAsia="zh-CN"/>
        </w:rPr>
      </w:pPr>
      <w:r>
        <w:rPr>
          <w:rFonts w:ascii="宋体" w:eastAsia="宋体" w:hAnsi="宋体" w:hint="eastAsia"/>
          <w:color w:val="000000"/>
          <w:kern w:val="2"/>
          <w:bdr w:val="none" w:sz="0" w:space="0" w:color="auto"/>
          <w:lang w:eastAsia="zh-CN"/>
        </w:rPr>
        <w:t>电子邮箱：zxywawj@ustc.edu.cn</w:t>
      </w:r>
    </w:p>
    <w:sectPr w:rsidR="004A467D" w:rsidRPr="004A467D">
      <w:headerReference w:type="default" r:id="rId8"/>
      <w:footerReference w:type="default" r:id="rId9"/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D056B" w:rsidRDefault="00BD056B">
      <w:r>
        <w:separator/>
      </w:r>
    </w:p>
  </w:endnote>
  <w:endnote w:type="continuationSeparator" w:id="0">
    <w:p w:rsidR="00BD056B" w:rsidRDefault="00BD0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ingFang SC Regular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INGFANG SC SEMIBOLD">
    <w:panose1 w:val="020B0800000000000000"/>
    <w:charset w:val="86"/>
    <w:family w:val="swiss"/>
    <w:pitch w:val="variable"/>
    <w:sig w:usb0="A00002FF" w:usb1="7ACFFDFB" w:usb2="00000017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0846" w:rsidRDefault="002B084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D056B" w:rsidRDefault="00BD056B">
      <w:r>
        <w:separator/>
      </w:r>
    </w:p>
  </w:footnote>
  <w:footnote w:type="continuationSeparator" w:id="0">
    <w:p w:rsidR="00BD056B" w:rsidRDefault="00BD0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B0846" w:rsidRDefault="002B084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734F6"/>
    <w:multiLevelType w:val="hybridMultilevel"/>
    <w:tmpl w:val="1890A910"/>
    <w:lvl w:ilvl="0" w:tplc="68C4B3B0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2" w:hanging="420"/>
      </w:pPr>
    </w:lvl>
    <w:lvl w:ilvl="2" w:tplc="0409001B" w:tentative="1">
      <w:start w:val="1"/>
      <w:numFmt w:val="lowerRoman"/>
      <w:lvlText w:val="%3."/>
      <w:lvlJc w:val="righ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9" w:tentative="1">
      <w:start w:val="1"/>
      <w:numFmt w:val="lowerLetter"/>
      <w:lvlText w:val="%5)"/>
      <w:lvlJc w:val="left"/>
      <w:pPr>
        <w:ind w:left="2102" w:hanging="420"/>
      </w:pPr>
    </w:lvl>
    <w:lvl w:ilvl="5" w:tplc="0409001B" w:tentative="1">
      <w:start w:val="1"/>
      <w:numFmt w:val="lowerRoman"/>
      <w:lvlText w:val="%6."/>
      <w:lvlJc w:val="righ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9" w:tentative="1">
      <w:start w:val="1"/>
      <w:numFmt w:val="lowerLetter"/>
      <w:lvlText w:val="%8)"/>
      <w:lvlJc w:val="left"/>
      <w:pPr>
        <w:ind w:left="3362" w:hanging="420"/>
      </w:pPr>
    </w:lvl>
    <w:lvl w:ilvl="8" w:tplc="0409001B" w:tentative="1">
      <w:start w:val="1"/>
      <w:numFmt w:val="lowerRoman"/>
      <w:lvlText w:val="%9."/>
      <w:lvlJc w:val="right"/>
      <w:pPr>
        <w:ind w:left="3782" w:hanging="420"/>
      </w:pPr>
    </w:lvl>
  </w:abstractNum>
  <w:num w:numId="1" w16cid:durableId="1269198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846"/>
    <w:rsid w:val="000321AC"/>
    <w:rsid w:val="001605D4"/>
    <w:rsid w:val="002160D1"/>
    <w:rsid w:val="00242511"/>
    <w:rsid w:val="00276126"/>
    <w:rsid w:val="00276AD4"/>
    <w:rsid w:val="002B0846"/>
    <w:rsid w:val="003D56DC"/>
    <w:rsid w:val="004A467D"/>
    <w:rsid w:val="005274AA"/>
    <w:rsid w:val="00614C30"/>
    <w:rsid w:val="00765180"/>
    <w:rsid w:val="00B71474"/>
    <w:rsid w:val="00BD056B"/>
    <w:rsid w:val="00D95BBE"/>
    <w:rsid w:val="00DA452E"/>
    <w:rsid w:val="00DE1322"/>
    <w:rsid w:val="00F6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AD76E0"/>
  <w15:docId w15:val="{8F01B650-B3F9-A843-B4F7-087A3170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PingFang SC Regular" w:hAnsi="PingFang SC Regular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正文 A"/>
    <w:pPr>
      <w:widowControl w:val="0"/>
      <w:jc w:val="both"/>
    </w:pPr>
    <w:rPr>
      <w:rFonts w:ascii="DengXian" w:eastAsia="DengXian" w:hAnsi="DengXian" w:cs="DengXian"/>
      <w:color w:val="000000"/>
      <w:kern w:val="2"/>
      <w:sz w:val="21"/>
      <w:szCs w:val="21"/>
      <w:u w:color="000000"/>
    </w:rPr>
  </w:style>
  <w:style w:type="paragraph" w:styleId="a6">
    <w:name w:val="List Paragraph"/>
    <w:basedOn w:val="a"/>
    <w:uiPriority w:val="34"/>
    <w:qFormat/>
    <w:rsid w:val="0076518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Chars="200" w:firstLine="420"/>
      <w:jc w:val="both"/>
    </w:pPr>
    <w:rPr>
      <w:rFonts w:ascii="DengXian" w:eastAsia="DengXian" w:hAnsi="DengXian"/>
      <w:kern w:val="2"/>
      <w:sz w:val="21"/>
      <w:szCs w:val="22"/>
      <w:bdr w:val="none" w:sz="0" w:space="0" w:color="aut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Xiuying Zhong</cp:lastModifiedBy>
  <cp:revision>8</cp:revision>
  <dcterms:created xsi:type="dcterms:W3CDTF">2024-11-14T02:32:00Z</dcterms:created>
  <dcterms:modified xsi:type="dcterms:W3CDTF">2025-04-02T01:57:00Z</dcterms:modified>
</cp:coreProperties>
</file>