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23D21">
      <w:pPr>
        <w:widowControl/>
        <w:spacing w:before="100" w:beforeAutospacing="1" w:after="100" w:afterAutospacing="1"/>
        <w:jc w:val="left"/>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林</w:t>
      </w:r>
      <w:r>
        <w:rPr>
          <w:rFonts w:ascii="宋体" w:hAnsi="宋体" w:eastAsia="宋体" w:cs="宋体"/>
          <w:b/>
          <w:bCs/>
          <w:color w:val="000000"/>
          <w:kern w:val="0"/>
          <w:sz w:val="24"/>
          <w:szCs w:val="24"/>
        </w:rPr>
        <w:t>能明博士</w:t>
      </w:r>
    </w:p>
    <w:p w14:paraId="208BAC0C">
      <w:pPr>
        <w:widowControl/>
        <w:spacing w:before="100" w:beforeAutospacing="1" w:after="100" w:afterAutospacing="1"/>
        <w:jc w:val="left"/>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Nengming</w:t>
      </w:r>
      <w:r>
        <w:rPr>
          <w:rFonts w:ascii="宋体" w:hAnsi="宋体" w:eastAsia="宋体" w:cs="宋体"/>
          <w:b/>
          <w:bCs/>
          <w:color w:val="000000"/>
          <w:kern w:val="0"/>
          <w:sz w:val="24"/>
          <w:szCs w:val="24"/>
        </w:rPr>
        <w:t xml:space="preserve"> </w:t>
      </w:r>
      <w:r>
        <w:rPr>
          <w:rFonts w:hint="eastAsia" w:ascii="宋体" w:hAnsi="宋体" w:eastAsia="宋体" w:cs="宋体"/>
          <w:b/>
          <w:bCs/>
          <w:color w:val="000000"/>
          <w:kern w:val="0"/>
          <w:sz w:val="24"/>
          <w:szCs w:val="24"/>
        </w:rPr>
        <w:t>Lin</w:t>
      </w:r>
      <w:r>
        <w:rPr>
          <w:rFonts w:ascii="宋体" w:hAnsi="宋体" w:eastAsia="宋体" w:cs="宋体"/>
          <w:b/>
          <w:bCs/>
          <w:color w:val="000000"/>
          <w:kern w:val="0"/>
          <w:sz w:val="24"/>
          <w:szCs w:val="24"/>
        </w:rPr>
        <w:t>, Ph.D.</w:t>
      </w:r>
    </w:p>
    <w:p w14:paraId="4D929B26">
      <w:pPr>
        <w:widowControl/>
        <w:spacing w:before="100" w:beforeAutospacing="1" w:after="100" w:afterAutospacing="1"/>
        <w:jc w:val="left"/>
        <w:rPr>
          <w:rFonts w:ascii="宋体" w:hAnsi="宋体" w:eastAsia="宋体" w:cs="宋体"/>
          <w:color w:val="009DAB"/>
          <w:kern w:val="0"/>
          <w:sz w:val="24"/>
          <w:szCs w:val="24"/>
        </w:rPr>
      </w:pPr>
      <w:r>
        <w:rPr>
          <w:rFonts w:ascii="宋体" w:hAnsi="宋体" w:eastAsia="宋体" w:cs="宋体"/>
          <w:color w:val="009DAB"/>
          <w:kern w:val="0"/>
          <w:sz w:val="24"/>
          <w:szCs w:val="24"/>
        </w:rPr>
        <w:t>医学院</w:t>
      </w:r>
      <w:r>
        <w:rPr>
          <w:rFonts w:hint="eastAsia" w:ascii="宋体" w:hAnsi="宋体" w:eastAsia="宋体" w:cs="宋体"/>
          <w:color w:val="009DAB"/>
          <w:kern w:val="0"/>
          <w:sz w:val="24"/>
          <w:szCs w:val="24"/>
        </w:rPr>
        <w:t>附属杭州市第一人民医院/生命科学院</w:t>
      </w:r>
    </w:p>
    <w:p w14:paraId="11C20E4A">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b/>
          <w:bCs/>
          <w:color w:val="000000"/>
          <w:kern w:val="0"/>
          <w:sz w:val="24"/>
          <w:szCs w:val="24"/>
          <w:lang w:val="en-US" w:eastAsia="zh-CN"/>
        </w:rPr>
        <w:t>专业</w:t>
      </w:r>
    </w:p>
    <w:p w14:paraId="15D533FF">
      <w:pPr>
        <w:widowControl/>
        <w:jc w:val="left"/>
        <w:rPr>
          <w:rFonts w:ascii="宋体" w:hAnsi="宋体" w:eastAsia="宋体" w:cs="宋体"/>
          <w:color w:val="000000"/>
          <w:kern w:val="0"/>
          <w:sz w:val="24"/>
          <w:szCs w:val="24"/>
        </w:rPr>
      </w:pPr>
      <w:r>
        <w:rPr>
          <w:rFonts w:hint="eastAsia" w:ascii="宋体" w:hAnsi="宋体" w:eastAsia="宋体" w:cs="宋体"/>
          <w:color w:val="009DAB"/>
          <w:kern w:val="0"/>
          <w:sz w:val="24"/>
          <w:szCs w:val="24"/>
          <w:lang w:val="en-US" w:eastAsia="zh-CN"/>
        </w:rPr>
        <w:t>临床药学、临床肿瘤</w:t>
      </w:r>
      <w:r>
        <w:rPr>
          <w:rFonts w:hint="eastAsia" w:ascii="宋体" w:hAnsi="宋体" w:eastAsia="宋体" w:cs="宋体"/>
          <w:color w:val="009DAB"/>
          <w:kern w:val="0"/>
          <w:sz w:val="24"/>
          <w:szCs w:val="24"/>
        </w:rPr>
        <w:t>药理</w:t>
      </w:r>
      <w:r>
        <w:rPr>
          <w:rFonts w:hint="eastAsia" w:ascii="宋体" w:hAnsi="宋体" w:eastAsia="宋体" w:cs="宋体"/>
          <w:color w:val="009DAB"/>
          <w:kern w:val="0"/>
          <w:sz w:val="24"/>
          <w:szCs w:val="24"/>
          <w:lang w:val="en-US" w:eastAsia="zh-CN"/>
        </w:rPr>
        <w:t>与毒理</w:t>
      </w:r>
      <w:r>
        <w:rPr>
          <w:rFonts w:hint="eastAsia" w:ascii="宋体" w:hAnsi="宋体" w:eastAsia="宋体" w:cs="宋体"/>
          <w:color w:val="009DAB"/>
          <w:kern w:val="0"/>
          <w:sz w:val="24"/>
          <w:szCs w:val="24"/>
        </w:rPr>
        <w:t>学</w:t>
      </w:r>
    </w:p>
    <w:p w14:paraId="0897B607">
      <w:pPr>
        <w:widowControl/>
        <w:jc w:val="left"/>
        <w:rPr>
          <w:rFonts w:hint="eastAsia" w:ascii="宋体" w:hAnsi="宋体" w:eastAsia="宋体" w:cs="宋体"/>
          <w:b/>
          <w:bCs/>
          <w:color w:val="000000"/>
          <w:kern w:val="0"/>
          <w:sz w:val="24"/>
          <w:szCs w:val="24"/>
          <w:lang w:val="en-US" w:eastAsia="zh-CN"/>
        </w:rPr>
      </w:pPr>
    </w:p>
    <w:p w14:paraId="5CE9851D">
      <w:pPr>
        <w:widowControl/>
        <w:jc w:val="left"/>
        <w:rPr>
          <w:rFonts w:hint="eastAsia" w:ascii="宋体" w:hAnsi="宋体" w:eastAsia="宋体" w:cs="宋体"/>
          <w:b/>
          <w:bCs/>
          <w:color w:val="000000"/>
          <w:kern w:val="0"/>
          <w:sz w:val="24"/>
          <w:szCs w:val="24"/>
          <w:lang w:val="en-US" w:eastAsia="zh-CN"/>
        </w:rPr>
      </w:pPr>
      <w:r>
        <w:rPr>
          <w:rFonts w:hint="eastAsia" w:ascii="宋体" w:hAnsi="宋体" w:eastAsia="宋体" w:cs="宋体"/>
          <w:b/>
          <w:bCs/>
          <w:color w:val="000000"/>
          <w:kern w:val="0"/>
          <w:sz w:val="24"/>
          <w:szCs w:val="24"/>
          <w:lang w:val="en-US" w:eastAsia="zh-CN"/>
        </w:rPr>
        <w:t>实验室</w:t>
      </w:r>
    </w:p>
    <w:p w14:paraId="6A319B63">
      <w:pPr>
        <w:widowControl/>
        <w:jc w:val="left"/>
        <w:rPr>
          <w:rFonts w:hint="eastAsia" w:ascii="宋体" w:hAnsi="宋体" w:eastAsia="宋体" w:cs="宋体"/>
          <w:color w:val="009DAB"/>
          <w:kern w:val="0"/>
          <w:sz w:val="24"/>
          <w:szCs w:val="24"/>
        </w:rPr>
      </w:pPr>
      <w:r>
        <w:rPr>
          <w:rFonts w:hint="eastAsia" w:ascii="宋体" w:hAnsi="宋体" w:eastAsia="宋体" w:cs="宋体"/>
          <w:color w:val="009DAB"/>
          <w:kern w:val="0"/>
          <w:sz w:val="24"/>
          <w:szCs w:val="24"/>
        </w:rPr>
        <w:t>浙江省临床肿瘤药理与毒理学研究重点实验室</w:t>
      </w:r>
    </w:p>
    <w:p w14:paraId="57189FE0">
      <w:pPr>
        <w:keepNext w:val="0"/>
        <w:keepLines w:val="0"/>
        <w:pageBreakBefore w:val="0"/>
        <w:widowControl/>
        <w:kinsoku/>
        <w:wordWrap/>
        <w:overflowPunct/>
        <w:topLinePunct w:val="0"/>
        <w:autoSpaceDE/>
        <w:autoSpaceDN/>
        <w:bidi w:val="0"/>
        <w:adjustRightInd/>
        <w:snapToGrid/>
        <w:spacing w:beforeAutospacing="0" w:afterAutospacing="0"/>
        <w:jc w:val="left"/>
        <w:textAlignment w:val="auto"/>
        <w:rPr>
          <w:rFonts w:ascii="宋体" w:hAnsi="宋体" w:eastAsia="宋体" w:cs="宋体"/>
          <w:b/>
          <w:bCs/>
          <w:color w:val="000000"/>
          <w:kern w:val="0"/>
          <w:sz w:val="24"/>
          <w:szCs w:val="24"/>
          <w:u w:val="none"/>
        </w:rPr>
      </w:pPr>
    </w:p>
    <w:p w14:paraId="68F80665">
      <w:pPr>
        <w:keepNext w:val="0"/>
        <w:keepLines w:val="0"/>
        <w:pageBreakBefore w:val="0"/>
        <w:widowControl/>
        <w:kinsoku/>
        <w:wordWrap/>
        <w:overflowPunct/>
        <w:topLinePunct w:val="0"/>
        <w:autoSpaceDE/>
        <w:autoSpaceDN/>
        <w:bidi w:val="0"/>
        <w:adjustRightInd/>
        <w:snapToGrid/>
        <w:spacing w:beforeAutospacing="0" w:afterAutospacing="0"/>
        <w:jc w:val="left"/>
        <w:textAlignment w:val="auto"/>
        <w:rPr>
          <w:rFonts w:ascii="宋体" w:hAnsi="宋体" w:eastAsia="宋体" w:cs="宋体"/>
          <w:b/>
          <w:bCs/>
          <w:color w:val="000000"/>
          <w:kern w:val="0"/>
          <w:sz w:val="24"/>
          <w:szCs w:val="24"/>
          <w:u w:val="none"/>
        </w:rPr>
      </w:pPr>
      <w:r>
        <w:rPr>
          <w:rFonts w:ascii="宋体" w:hAnsi="宋体" w:eastAsia="宋体" w:cs="宋体"/>
          <w:b/>
          <w:bCs/>
          <w:color w:val="000000"/>
          <w:kern w:val="0"/>
          <w:sz w:val="24"/>
          <w:szCs w:val="24"/>
          <w:u w:val="none"/>
        </w:rPr>
        <w:t>邮箱</w:t>
      </w:r>
    </w:p>
    <w:p w14:paraId="3EB0CEA3">
      <w:pPr>
        <w:widowControl/>
        <w:jc w:val="left"/>
        <w:rPr>
          <w:rFonts w:hint="eastAsia" w:ascii="宋体" w:hAnsi="宋体" w:eastAsia="宋体" w:cs="宋体"/>
          <w:color w:val="009DAB"/>
          <w:kern w:val="0"/>
          <w:sz w:val="24"/>
          <w:szCs w:val="24"/>
        </w:rPr>
      </w:pPr>
      <w:r>
        <w:rPr>
          <w:rFonts w:hint="eastAsia" w:ascii="宋体" w:hAnsi="宋体" w:eastAsia="宋体" w:cs="宋体"/>
          <w:color w:val="009DAB"/>
          <w:kern w:val="0"/>
          <w:sz w:val="24"/>
          <w:szCs w:val="24"/>
          <w:lang w:val="en-US" w:eastAsia="zh-CN"/>
        </w:rPr>
        <w:t>电子</w:t>
      </w:r>
      <w:r>
        <w:rPr>
          <w:rFonts w:hint="eastAsia" w:ascii="宋体" w:hAnsi="宋体" w:eastAsia="宋体" w:cs="宋体"/>
          <w:color w:val="009DAB"/>
          <w:kern w:val="0"/>
          <w:sz w:val="24"/>
          <w:szCs w:val="24"/>
        </w:rPr>
        <w:t>邮箱:lnm1013@zju.edu.cn; lnm1013@163.com</w:t>
      </w:r>
    </w:p>
    <w:p w14:paraId="321DF842">
      <w:pPr>
        <w:widowControl/>
        <w:jc w:val="left"/>
        <w:rPr>
          <w:rFonts w:hint="eastAsia" w:ascii="宋体" w:hAnsi="宋体" w:eastAsia="宋体" w:cs="宋体"/>
          <w:color w:val="009DAB"/>
          <w:kern w:val="0"/>
          <w:sz w:val="24"/>
          <w:szCs w:val="24"/>
        </w:rPr>
      </w:pPr>
      <w:r>
        <w:rPr>
          <w:rFonts w:hint="eastAsia" w:ascii="宋体" w:hAnsi="宋体" w:eastAsia="宋体" w:cs="宋体"/>
          <w:color w:val="009DAB"/>
          <w:kern w:val="0"/>
          <w:sz w:val="24"/>
          <w:szCs w:val="24"/>
        </w:rPr>
        <w:t>网站:</w:t>
      </w:r>
    </w:p>
    <w:p w14:paraId="52D1C748">
      <w:pPr>
        <w:widowControl/>
        <w:jc w:val="left"/>
        <w:rPr>
          <w:rFonts w:ascii="宋体" w:hAnsi="宋体" w:eastAsia="宋体" w:cs="宋体"/>
          <w:color w:val="000000"/>
          <w:kern w:val="0"/>
          <w:sz w:val="24"/>
          <w:szCs w:val="24"/>
        </w:rPr>
      </w:pPr>
    </w:p>
    <w:p w14:paraId="27151071">
      <w:pPr>
        <w:widowControl/>
        <w:jc w:val="left"/>
        <w:rPr>
          <w:rFonts w:ascii="宋体" w:hAnsi="宋体" w:eastAsia="宋体" w:cs="宋体"/>
          <w:color w:val="000000"/>
          <w:kern w:val="0"/>
          <w:sz w:val="24"/>
          <w:szCs w:val="24"/>
        </w:rPr>
      </w:pPr>
    </w:p>
    <w:p w14:paraId="0D1E72BC">
      <w:pPr>
        <w:widowControl/>
        <w:jc w:val="left"/>
        <w:textAlignment w:val="top"/>
        <w:rPr>
          <w:rFonts w:ascii="宋体" w:hAnsi="宋体" w:eastAsia="宋体" w:cs="宋体"/>
          <w:kern w:val="0"/>
          <w:sz w:val="24"/>
          <w:szCs w:val="24"/>
        </w:rPr>
      </w:pPr>
      <w:r>
        <w:rPr>
          <w:rFonts w:ascii="宋体" w:hAnsi="宋体" w:eastAsia="宋体" w:cs="宋体"/>
          <w:kern w:val="0"/>
          <w:sz w:val="24"/>
          <w:szCs w:val="24"/>
        </w:rPr>
        <w:drawing>
          <wp:inline distT="0" distB="0" distL="0" distR="0">
            <wp:extent cx="5274310" cy="7909560"/>
            <wp:effectExtent l="19050" t="0" r="2540" b="0"/>
            <wp:docPr id="3" name="图片 1" descr="D:\林能明\个人简历\证件照2023.1\林能明 6(1)\IMG_065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林能明\个人简历\证件照2023.1\林能明 6(1)\IMG_0657-1.jpg"/>
                    <pic:cNvPicPr>
                      <a:picLocks noChangeAspect="1" noChangeArrowheads="1"/>
                    </pic:cNvPicPr>
                  </pic:nvPicPr>
                  <pic:blipFill>
                    <a:blip r:embed="rId4" cstate="print"/>
                    <a:srcRect/>
                    <a:stretch>
                      <a:fillRect/>
                    </a:stretch>
                  </pic:blipFill>
                  <pic:spPr>
                    <a:xfrm>
                      <a:off x="0" y="0"/>
                      <a:ext cx="5274310" cy="7909994"/>
                    </a:xfrm>
                    <a:prstGeom prst="rect">
                      <a:avLst/>
                    </a:prstGeom>
                    <a:noFill/>
                    <a:ln w="9525">
                      <a:noFill/>
                      <a:miter lim="800000"/>
                      <a:headEnd/>
                      <a:tailEnd/>
                    </a:ln>
                  </pic:spPr>
                </pic:pic>
              </a:graphicData>
            </a:graphic>
          </wp:inline>
        </w:drawing>
      </w:r>
    </w:p>
    <w:p w14:paraId="572461FC">
      <w:pPr>
        <w:widowControl/>
        <w:rPr>
          <w:rFonts w:hint="eastAsia" w:ascii="宋体" w:hAnsi="宋体" w:eastAsia="宋体" w:cs="Calibri"/>
          <w:b/>
          <w:bCs/>
          <w:color w:val="009DAB"/>
          <w:kern w:val="0"/>
          <w:szCs w:val="21"/>
        </w:rPr>
      </w:pPr>
    </w:p>
    <w:p w14:paraId="2039864D">
      <w:pPr>
        <w:widowControl/>
        <w:rPr>
          <w:rFonts w:ascii="Calibri" w:hAnsi="Calibri" w:eastAsia="宋体" w:cs="Calibri"/>
          <w:kern w:val="0"/>
          <w:szCs w:val="21"/>
        </w:rPr>
      </w:pPr>
      <w:r>
        <w:rPr>
          <w:rFonts w:hint="eastAsia" w:ascii="宋体" w:hAnsi="宋体" w:eastAsia="宋体" w:cs="Calibri"/>
          <w:b/>
          <w:bCs/>
          <w:color w:val="009DAB"/>
          <w:kern w:val="0"/>
          <w:szCs w:val="21"/>
        </w:rPr>
        <w:t>个人简介</w:t>
      </w:r>
      <w:bookmarkStart w:id="0" w:name="_GoBack"/>
      <w:bookmarkEnd w:id="0"/>
    </w:p>
    <w:p w14:paraId="2738420D">
      <w:pPr>
        <w:widowControl/>
        <w:spacing w:line="360" w:lineRule="auto"/>
        <w:rPr>
          <w:rFonts w:ascii="Calibri" w:hAnsi="Calibri" w:eastAsia="宋体" w:cs="Calibri"/>
          <w:kern w:val="0"/>
          <w:szCs w:val="21"/>
        </w:rPr>
      </w:pPr>
      <w:r>
        <w:rPr>
          <w:rFonts w:hint="eastAsia" w:ascii="宋体" w:hAnsi="宋体" w:eastAsia="宋体" w:cs="Calibri"/>
          <w:kern w:val="0"/>
          <w:szCs w:val="21"/>
        </w:rPr>
        <w:t>林能明，</w:t>
      </w:r>
      <w:r>
        <w:rPr>
          <w:rFonts w:hint="eastAsia" w:ascii="Calibri" w:hAnsi="Calibri" w:eastAsia="宋体" w:cs="Calibri"/>
          <w:kern w:val="0"/>
          <w:szCs w:val="21"/>
        </w:rPr>
        <w:t>医学博士，</w:t>
      </w:r>
      <w:r>
        <w:rPr>
          <w:rFonts w:hint="eastAsia" w:ascii="宋体" w:hAnsi="宋体" w:eastAsia="宋体" w:cs="Calibri"/>
          <w:kern w:val="0"/>
          <w:szCs w:val="21"/>
        </w:rPr>
        <w:t>教授/主任药师（专业技术二级），现为</w:t>
      </w:r>
      <w:r>
        <w:rPr>
          <w:rFonts w:hint="eastAsia" w:ascii="Calibri" w:hAnsi="Calibri" w:eastAsia="宋体" w:cs="Calibri"/>
          <w:kern w:val="0"/>
          <w:szCs w:val="21"/>
        </w:rPr>
        <w:t>浙江省临床肿瘤药理与毒理学研究重点实验室主任，西湖大学附属杭州市第一人民医院临床药学（省、市医学重点学科）负责人。</w:t>
      </w:r>
      <w:r>
        <w:rPr>
          <w:rFonts w:hint="eastAsia" w:ascii="宋体" w:hAnsi="宋体" w:eastAsia="宋体" w:cs="Calibri"/>
          <w:kern w:val="0"/>
          <w:szCs w:val="21"/>
        </w:rPr>
        <w:t>曾任医院党委委员、副院长、</w:t>
      </w:r>
      <w:r>
        <w:rPr>
          <w:rFonts w:hint="eastAsia" w:ascii="Calibri" w:hAnsi="Calibri" w:eastAsia="宋体" w:cs="Calibri"/>
          <w:kern w:val="0"/>
          <w:szCs w:val="21"/>
        </w:rPr>
        <w:t>Ⅰ期临床研究中心主任</w:t>
      </w:r>
      <w:r>
        <w:rPr>
          <w:rFonts w:hint="eastAsia" w:ascii="宋体" w:hAnsi="宋体" w:eastAsia="宋体" w:cs="Calibri"/>
          <w:kern w:val="0"/>
          <w:szCs w:val="21"/>
        </w:rPr>
        <w:t>。先后担任浙江大学医学院/药学院、南京医科大学药学院、浙江中医药大学药学院、温州医科大学药学院教授，药理学、临床药学、中药学博</w:t>
      </w:r>
      <w:r>
        <w:rPr>
          <w:rFonts w:hint="eastAsia" w:ascii="宋体" w:hAnsi="宋体" w:eastAsia="宋体" w:cs="Calibri"/>
          <w:kern w:val="0"/>
          <w:szCs w:val="21"/>
          <w:lang w:val="en-US" w:eastAsia="zh-CN"/>
        </w:rPr>
        <w:t>士</w:t>
      </w:r>
      <w:r>
        <w:rPr>
          <w:rFonts w:hint="eastAsia" w:ascii="宋体" w:hAnsi="宋体" w:eastAsia="宋体" w:cs="Calibri"/>
          <w:kern w:val="0"/>
          <w:szCs w:val="21"/>
        </w:rPr>
        <w:t>研究生导师，博士后</w:t>
      </w:r>
      <w:r>
        <w:rPr>
          <w:rFonts w:hint="eastAsia" w:ascii="宋体" w:hAnsi="宋体" w:eastAsia="宋体" w:cs="Calibri"/>
          <w:kern w:val="0"/>
          <w:szCs w:val="21"/>
          <w:lang w:val="en-US" w:eastAsia="zh-CN"/>
        </w:rPr>
        <w:t>合作</w:t>
      </w:r>
      <w:r>
        <w:rPr>
          <w:rFonts w:hint="eastAsia" w:ascii="宋体" w:hAnsi="宋体" w:eastAsia="宋体" w:cs="Calibri"/>
          <w:kern w:val="0"/>
          <w:szCs w:val="21"/>
        </w:rPr>
        <w:t>老师，已培养硕博研究生</w:t>
      </w:r>
      <w:r>
        <w:rPr>
          <w:rFonts w:hint="eastAsia" w:ascii="宋体" w:hAnsi="宋体" w:eastAsia="宋体" w:cs="Calibri"/>
          <w:kern w:val="0"/>
          <w:szCs w:val="21"/>
          <w:lang w:val="en-US" w:eastAsia="zh-CN"/>
        </w:rPr>
        <w:t>6</w:t>
      </w:r>
      <w:r>
        <w:rPr>
          <w:rFonts w:hint="eastAsia" w:ascii="宋体" w:hAnsi="宋体" w:eastAsia="宋体" w:cs="Calibri"/>
          <w:kern w:val="0"/>
          <w:szCs w:val="21"/>
        </w:rPr>
        <w:t>0余名，博士后</w:t>
      </w:r>
      <w:r>
        <w:rPr>
          <w:rFonts w:hint="eastAsia" w:ascii="宋体" w:hAnsi="宋体" w:eastAsia="宋体" w:cs="Calibri"/>
          <w:kern w:val="0"/>
          <w:szCs w:val="21"/>
          <w:lang w:val="en-US" w:eastAsia="zh-CN"/>
        </w:rPr>
        <w:t>7</w:t>
      </w:r>
      <w:r>
        <w:rPr>
          <w:rFonts w:hint="eastAsia" w:ascii="宋体" w:hAnsi="宋体" w:eastAsia="宋体" w:cs="Calibri"/>
          <w:kern w:val="0"/>
          <w:szCs w:val="21"/>
        </w:rPr>
        <w:t>名。于</w:t>
      </w:r>
      <w:r>
        <w:rPr>
          <w:rFonts w:ascii="Calibri" w:hAnsi="Calibri" w:eastAsia="宋体" w:cs="Calibri"/>
          <w:kern w:val="0"/>
          <w:szCs w:val="21"/>
        </w:rPr>
        <w:t>202</w:t>
      </w:r>
      <w:r>
        <w:rPr>
          <w:rFonts w:hint="eastAsia" w:ascii="Calibri" w:hAnsi="Calibri" w:eastAsia="宋体" w:cs="Calibri"/>
          <w:kern w:val="0"/>
          <w:szCs w:val="21"/>
        </w:rPr>
        <w:t>3</w:t>
      </w:r>
      <w:r>
        <w:rPr>
          <w:rFonts w:hint="eastAsia" w:ascii="宋体" w:hAnsi="宋体" w:eastAsia="宋体" w:cs="Calibri"/>
          <w:kern w:val="0"/>
          <w:szCs w:val="21"/>
        </w:rPr>
        <w:t>年12月加入西湖大学医学院/生命科学学院，担任特聘研究员，博士生导师。</w:t>
      </w:r>
    </w:p>
    <w:p w14:paraId="3F409C69">
      <w:pPr>
        <w:widowControl/>
        <w:spacing w:line="360" w:lineRule="auto"/>
        <w:rPr>
          <w:rFonts w:ascii="Calibri" w:hAnsi="Calibri" w:eastAsia="宋体" w:cs="Calibri"/>
          <w:kern w:val="0"/>
          <w:szCs w:val="21"/>
        </w:rPr>
      </w:pPr>
    </w:p>
    <w:p w14:paraId="2E501003">
      <w:pPr>
        <w:widowControl/>
        <w:spacing w:line="360" w:lineRule="auto"/>
        <w:rPr>
          <w:rFonts w:ascii="Calibri" w:hAnsi="Calibri" w:eastAsia="宋体" w:cs="Calibri"/>
          <w:b/>
          <w:bCs/>
          <w:color w:val="009DAB"/>
          <w:kern w:val="0"/>
          <w:szCs w:val="21"/>
        </w:rPr>
      </w:pPr>
      <w:r>
        <w:rPr>
          <w:rFonts w:hint="eastAsia" w:ascii="宋体" w:hAnsi="宋体" w:eastAsia="宋体" w:cs="Calibri"/>
          <w:b/>
          <w:bCs/>
          <w:color w:val="009DAB"/>
          <w:kern w:val="0"/>
          <w:szCs w:val="21"/>
        </w:rPr>
        <w:t>学术成果及研究方向</w:t>
      </w:r>
    </w:p>
    <w:p w14:paraId="0EA41A8B">
      <w:pPr>
        <w:widowControl/>
        <w:spacing w:line="360" w:lineRule="auto"/>
        <w:rPr>
          <w:rFonts w:ascii="Calibri" w:hAnsi="Calibri" w:eastAsia="宋体" w:cs="Calibri"/>
          <w:kern w:val="0"/>
          <w:szCs w:val="21"/>
        </w:rPr>
      </w:pPr>
      <w:r>
        <w:rPr>
          <w:rFonts w:hint="eastAsia" w:ascii="Calibri" w:hAnsi="Calibri" w:eastAsia="宋体" w:cs="Calibri"/>
          <w:kern w:val="0"/>
          <w:szCs w:val="21"/>
        </w:rPr>
        <w:t xml:space="preserve">享受国务院政府特贴，浙江省有突出贡献的中青年专家，浙江省卫生领军人才。现任中国医药教育协会临床抗肿瘤用药评价分会主任委员，浙江省医学会临床试验与伦理分会主任委员，浙江省药学会临床药学专业委员会主任委员，中国药房副主编兼网络版主编等学术职务。 </w:t>
      </w:r>
    </w:p>
    <w:p w14:paraId="077EA4F6">
      <w:pPr>
        <w:widowControl/>
        <w:spacing w:line="360" w:lineRule="auto"/>
        <w:rPr>
          <w:rFonts w:ascii="Calibri" w:hAnsi="Calibri" w:eastAsia="宋体" w:cs="Calibri"/>
          <w:kern w:val="0"/>
          <w:szCs w:val="21"/>
        </w:rPr>
      </w:pPr>
      <w:r>
        <w:rPr>
          <w:rFonts w:hint="eastAsia" w:ascii="Calibri" w:hAnsi="Calibri" w:eastAsia="宋体" w:cs="Calibri"/>
          <w:kern w:val="0"/>
          <w:szCs w:val="21"/>
        </w:rPr>
        <w:t>主要从事医院管理、临床药学、临床肿瘤药理学与毒理学研究。主持国家自然科学基金、省重大研发计划及省部级课题20余项，</w:t>
      </w:r>
      <w:r>
        <w:rPr>
          <w:rFonts w:hint="eastAsia" w:ascii="Calibri" w:hAnsi="Calibri" w:eastAsia="宋体" w:cs="Calibri"/>
          <w:kern w:val="0"/>
          <w:szCs w:val="21"/>
          <w:lang w:val="en-US" w:eastAsia="zh-CN"/>
        </w:rPr>
        <w:t>BE与</w:t>
      </w:r>
      <w:r>
        <w:rPr>
          <w:rFonts w:hint="eastAsia" w:ascii="Calibri" w:hAnsi="Calibri" w:eastAsia="宋体" w:cs="Calibri"/>
          <w:kern w:val="0"/>
          <w:szCs w:val="21"/>
        </w:rPr>
        <w:t>Ⅰ期临床试验</w:t>
      </w:r>
      <w:r>
        <w:rPr>
          <w:rFonts w:hint="eastAsia" w:ascii="Calibri" w:hAnsi="Calibri" w:eastAsia="宋体" w:cs="Calibri"/>
          <w:kern w:val="0"/>
          <w:szCs w:val="21"/>
          <w:lang w:val="en-US" w:eastAsia="zh-CN"/>
        </w:rPr>
        <w:t>3</w:t>
      </w:r>
      <w:r>
        <w:rPr>
          <w:rFonts w:hint="eastAsia" w:ascii="Calibri" w:hAnsi="Calibri" w:eastAsia="宋体" w:cs="Calibri"/>
          <w:kern w:val="0"/>
          <w:szCs w:val="21"/>
        </w:rPr>
        <w:t>0余项；发表论文2</w:t>
      </w:r>
      <w:r>
        <w:rPr>
          <w:rFonts w:hint="eastAsia" w:ascii="Calibri" w:hAnsi="Calibri" w:eastAsia="宋体" w:cs="Calibri"/>
          <w:kern w:val="0"/>
          <w:szCs w:val="21"/>
          <w:lang w:val="en-US" w:eastAsia="zh-CN"/>
        </w:rPr>
        <w:t>8</w:t>
      </w:r>
      <w:r>
        <w:rPr>
          <w:rFonts w:hint="eastAsia" w:ascii="Calibri" w:hAnsi="Calibri" w:eastAsia="宋体" w:cs="Calibri"/>
          <w:kern w:val="0"/>
          <w:szCs w:val="21"/>
        </w:rPr>
        <w:t>0余篇，其中SCI收录1</w:t>
      </w:r>
      <w:r>
        <w:rPr>
          <w:rFonts w:hint="eastAsia" w:ascii="Calibri" w:hAnsi="Calibri" w:eastAsia="宋体" w:cs="Calibri"/>
          <w:kern w:val="0"/>
          <w:szCs w:val="21"/>
          <w:lang w:val="en-US" w:eastAsia="zh-CN"/>
        </w:rPr>
        <w:t>4</w:t>
      </w:r>
      <w:r>
        <w:rPr>
          <w:rFonts w:hint="eastAsia" w:ascii="Calibri" w:hAnsi="Calibri" w:eastAsia="宋体" w:cs="Calibri"/>
          <w:kern w:val="0"/>
          <w:szCs w:val="21"/>
        </w:rPr>
        <w:t xml:space="preserve">0余篇；出版专著5部；授权国家发明专利5项；获新药临床试验批件1项，浙江省科技进步二、三等奖4项。 </w:t>
      </w:r>
    </w:p>
    <w:p w14:paraId="303F9C7B">
      <w:pPr>
        <w:widowControl/>
        <w:rPr>
          <w:rFonts w:ascii="Calibri" w:hAnsi="Calibri" w:eastAsia="宋体" w:cs="Calibri"/>
          <w:kern w:val="0"/>
          <w:szCs w:val="21"/>
        </w:rPr>
      </w:pPr>
    </w:p>
    <w:p w14:paraId="2FF7290C">
      <w:pPr>
        <w:keepNext w:val="0"/>
        <w:keepLines w:val="0"/>
        <w:pageBreakBefore w:val="0"/>
        <w:widowControl/>
        <w:kinsoku/>
        <w:wordWrap/>
        <w:overflowPunct/>
        <w:topLinePunct w:val="0"/>
        <w:autoSpaceDE/>
        <w:autoSpaceDN/>
        <w:bidi w:val="0"/>
        <w:adjustRightInd/>
        <w:snapToGrid/>
        <w:spacing w:line="360" w:lineRule="auto"/>
        <w:textAlignment w:val="auto"/>
        <w:rPr>
          <w:rFonts w:ascii="Calibri" w:hAnsi="Calibri" w:eastAsia="宋体" w:cs="Calibri"/>
          <w:b/>
          <w:bCs/>
          <w:color w:val="009DAB"/>
          <w:kern w:val="0"/>
          <w:szCs w:val="21"/>
        </w:rPr>
      </w:pPr>
      <w:r>
        <w:rPr>
          <w:rFonts w:hint="eastAsia" w:ascii="宋体" w:hAnsi="宋体" w:eastAsia="宋体" w:cs="Calibri"/>
          <w:b/>
          <w:bCs/>
          <w:color w:val="009DAB"/>
          <w:kern w:val="0"/>
          <w:szCs w:val="21"/>
        </w:rPr>
        <w:t>代表论文</w:t>
      </w:r>
    </w:p>
    <w:p w14:paraId="3AD391FD">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sz w:val="21"/>
          <w:szCs w:val="21"/>
          <w:lang w:eastAsia="zh-CN"/>
        </w:rPr>
      </w:pPr>
      <w:r>
        <w:rPr>
          <w:rFonts w:hint="default" w:ascii="Segoe UI" w:hAnsi="Segoe UI" w:eastAsia="宋体" w:cs="Segoe UI"/>
          <w:color w:val="000000"/>
          <w:kern w:val="0"/>
          <w:sz w:val="21"/>
          <w:szCs w:val="21"/>
          <w:lang w:val="en-US"/>
        </w:rPr>
        <w:t xml:space="preserve">Liu T, Zhou W, Fang C, Liang Y, Zhao Z, Cai A, Peng X, Ye X, Bai M, Hu X, </w:t>
      </w:r>
      <w:r>
        <w:rPr>
          <w:rFonts w:hint="default" w:ascii="Segoe UI" w:hAnsi="Segoe UI" w:eastAsia="宋体" w:cs="Segoe UI"/>
          <w:b/>
          <w:bCs w:val="0"/>
          <w:color w:val="000000"/>
          <w:kern w:val="0"/>
          <w:sz w:val="21"/>
          <w:szCs w:val="21"/>
          <w:lang w:val="en-US"/>
        </w:rPr>
        <w:t xml:space="preserve">Lin N*, </w:t>
      </w:r>
      <w:r>
        <w:rPr>
          <w:rFonts w:hint="default" w:ascii="Segoe UI" w:hAnsi="Segoe UI" w:eastAsia="宋体" w:cs="Segoe UI"/>
          <w:color w:val="000000"/>
          <w:kern w:val="0"/>
          <w:sz w:val="21"/>
          <w:szCs w:val="21"/>
          <w:lang w:val="en-US"/>
        </w:rPr>
        <w:t>Zou X*, Huang P*. Sine Oculis homeobox 1 drives endothelial dysfunction in preclinical pulmonary arterial hypertension. Sci Transl Med. 2026</w:t>
      </w:r>
      <w:r>
        <w:rPr>
          <w:sz w:val="21"/>
          <w:szCs w:val="21"/>
          <w:lang w:eastAsia="zh-CN"/>
        </w:rPr>
        <w:t xml:space="preserve"> February (13-Jan-2026, Accepted)</w:t>
      </w:r>
    </w:p>
    <w:p w14:paraId="1DBE69B4">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eastAsia" w:ascii="宋体" w:hAnsi="宋体" w:eastAsia="宋体" w:cs="宋体"/>
          <w:color w:val="000000"/>
          <w:kern w:val="0"/>
          <w:sz w:val="21"/>
          <w:szCs w:val="21"/>
          <w:lang w:val="en-US"/>
        </w:rPr>
      </w:pPr>
      <w:r>
        <w:rPr>
          <w:rFonts w:hint="default" w:ascii="Segoe UI" w:hAnsi="Segoe UI" w:eastAsia="宋体" w:cs="Segoe UI"/>
          <w:color w:val="000000"/>
          <w:kern w:val="0"/>
          <w:sz w:val="21"/>
          <w:szCs w:val="21"/>
          <w:lang w:val="en-US"/>
        </w:rPr>
        <w:t>Xu W, Shen M, Ma J, Peng C, Wu S, Yang X, Wu J, Yan Y, </w:t>
      </w:r>
      <w:r>
        <w:rPr>
          <w:rFonts w:hint="default" w:ascii="Segoe UI" w:hAnsi="Segoe UI" w:eastAsia="宋体" w:cs="Segoe UI"/>
          <w:b/>
          <w:bCs/>
          <w:color w:val="000000"/>
          <w:kern w:val="0"/>
          <w:sz w:val="21"/>
          <w:szCs w:val="21"/>
          <w:lang w:val="en-US"/>
        </w:rPr>
        <w:t>Lin N*</w:t>
      </w:r>
      <w:r>
        <w:rPr>
          <w:rFonts w:hint="default" w:ascii="Segoe UI" w:hAnsi="Segoe UI" w:eastAsia="宋体" w:cs="Segoe UI"/>
          <w:color w:val="000000"/>
          <w:kern w:val="0"/>
          <w:sz w:val="21"/>
          <w:szCs w:val="21"/>
          <w:lang w:val="en-US"/>
        </w:rPr>
        <w:t>, Gao J*, Zhang B*. The cytoskeletal protein smoothelin maintains homologous recombination repair by stabilizing RAD51 in an HUWE1-dependent manner in colorectal cancer.</w:t>
      </w:r>
      <w:r>
        <w:rPr>
          <w:rFonts w:hint="eastAsia" w:ascii="宋体" w:hAnsi="宋体" w:eastAsia="宋体" w:cs="宋体"/>
          <w:color w:val="000000"/>
          <w:kern w:val="0"/>
          <w:sz w:val="21"/>
          <w:szCs w:val="21"/>
          <w:lang w:val="en-US"/>
        </w:rPr>
        <w:t xml:space="preserve"> </w:t>
      </w:r>
      <w:r>
        <w:rPr>
          <w:rFonts w:hint="default" w:ascii="Segoe UI" w:hAnsi="Segoe UI" w:eastAsia="宋体" w:cs="Segoe UI"/>
          <w:color w:val="000000"/>
          <w:kern w:val="0"/>
          <w:sz w:val="21"/>
          <w:szCs w:val="21"/>
          <w:lang w:val="en-US"/>
        </w:rPr>
        <w:t>Acta Pharm Sin B. 2025 Dec;15(12):6444-6460.</w:t>
      </w:r>
    </w:p>
    <w:p w14:paraId="61905397">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eastAsia" w:ascii="宋体" w:hAnsi="宋体" w:eastAsia="宋体" w:cs="宋体"/>
          <w:color w:val="000000"/>
          <w:kern w:val="0"/>
          <w:sz w:val="21"/>
          <w:szCs w:val="21"/>
          <w:lang w:val="en-US"/>
        </w:rPr>
      </w:pPr>
      <w:r>
        <w:rPr>
          <w:rFonts w:hint="default" w:ascii="Segoe UI" w:hAnsi="Segoe UI" w:eastAsia="宋体" w:cs="Segoe UI"/>
          <w:color w:val="000000"/>
          <w:kern w:val="0"/>
          <w:sz w:val="21"/>
          <w:szCs w:val="21"/>
          <w:lang w:val="en-US"/>
        </w:rPr>
        <w:t>Zhang B, Lu J, Lin X, Wang J, Li Q, Jin T, Shi Q, Lu Y, Zhang J, Deng J, Zhang Y, Guo Y, Gao J, Chen H, Yan Y, Wu J, Gao J, Che J, Dong X*, Gu Z*, </w:t>
      </w:r>
      <w:r>
        <w:rPr>
          <w:rFonts w:hint="default" w:ascii="Segoe UI" w:hAnsi="Segoe UI" w:eastAsia="宋体" w:cs="Segoe UI"/>
          <w:b/>
          <w:bCs/>
          <w:color w:val="000000"/>
          <w:kern w:val="0"/>
          <w:sz w:val="21"/>
          <w:szCs w:val="21"/>
          <w:lang w:val="en-US"/>
        </w:rPr>
        <w:t xml:space="preserve">Lin N*. </w:t>
      </w:r>
      <w:r>
        <w:rPr>
          <w:rFonts w:hint="default" w:ascii="Segoe UI" w:hAnsi="Segoe UI" w:eastAsia="宋体" w:cs="Segoe UI"/>
          <w:color w:val="000000"/>
          <w:kern w:val="0"/>
          <w:sz w:val="21"/>
          <w:szCs w:val="21"/>
          <w:lang w:val="en-US"/>
        </w:rPr>
        <w:t>Injectable and Sprayable Fluorescent Nanoprobe for Rapid Real-Time Detection of Human Colorectal Tumors.</w:t>
      </w:r>
      <w:r>
        <w:rPr>
          <w:rFonts w:hint="eastAsia" w:ascii="宋体" w:hAnsi="宋体" w:eastAsia="宋体" w:cs="宋体"/>
          <w:color w:val="000000"/>
          <w:kern w:val="0"/>
          <w:sz w:val="21"/>
          <w:szCs w:val="21"/>
          <w:lang w:val="en-US"/>
        </w:rPr>
        <w:t xml:space="preserve"> </w:t>
      </w:r>
      <w:r>
        <w:rPr>
          <w:rFonts w:hint="default" w:ascii="Segoe UI" w:hAnsi="Segoe UI" w:eastAsia="宋体" w:cs="Segoe UI"/>
          <w:color w:val="000000"/>
          <w:kern w:val="0"/>
          <w:sz w:val="21"/>
          <w:szCs w:val="21"/>
          <w:lang w:val="en-US"/>
        </w:rPr>
        <w:t>Adv Mater. 2024 Sep;36(36):e2405275. </w:t>
      </w:r>
    </w:p>
    <w:p w14:paraId="760D70E9">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eastAsia" w:ascii="宋体" w:hAnsi="宋体" w:eastAsia="宋体" w:cs="宋体"/>
          <w:color w:val="000000"/>
          <w:kern w:val="0"/>
          <w:sz w:val="21"/>
          <w:szCs w:val="21"/>
          <w:lang w:val="en-US"/>
        </w:rPr>
      </w:pPr>
      <w:r>
        <w:rPr>
          <w:rFonts w:hint="default" w:ascii="Segoe UI" w:hAnsi="Segoe UI" w:eastAsia="宋体" w:cs="Segoe UI"/>
          <w:color w:val="000000"/>
          <w:kern w:val="0"/>
          <w:sz w:val="21"/>
          <w:szCs w:val="21"/>
          <w:lang w:val="en-US"/>
        </w:rPr>
        <w:t>Luo J, Li P, Dong M, Zhang Y, Lu S, Chen M, Zhou H, </w:t>
      </w:r>
      <w:r>
        <w:rPr>
          <w:rFonts w:hint="default" w:ascii="Segoe UI" w:hAnsi="Segoe UI" w:eastAsia="宋体" w:cs="Segoe UI"/>
          <w:b/>
          <w:bCs/>
          <w:color w:val="000000"/>
          <w:kern w:val="0"/>
          <w:sz w:val="21"/>
          <w:szCs w:val="21"/>
          <w:lang w:val="en-US"/>
        </w:rPr>
        <w:t>Lin N*</w:t>
      </w:r>
      <w:r>
        <w:rPr>
          <w:rFonts w:hint="default" w:ascii="Segoe UI" w:hAnsi="Segoe UI" w:eastAsia="宋体" w:cs="Segoe UI"/>
          <w:color w:val="000000"/>
          <w:kern w:val="0"/>
          <w:sz w:val="21"/>
          <w:szCs w:val="21"/>
          <w:lang w:val="en-US"/>
        </w:rPr>
        <w:t>, Jiang H*, Wang Y*. SLC15A3 plays a crucial role in pulmonary fibrosis by regulating macrophage oxidative stress.</w:t>
      </w:r>
      <w:r>
        <w:rPr>
          <w:rFonts w:hint="eastAsia" w:ascii="宋体" w:hAnsi="宋体" w:eastAsia="宋体" w:cs="宋体"/>
          <w:color w:val="000000"/>
          <w:kern w:val="0"/>
          <w:sz w:val="21"/>
          <w:szCs w:val="21"/>
          <w:lang w:val="en-US"/>
        </w:rPr>
        <w:t xml:space="preserve"> </w:t>
      </w:r>
      <w:r>
        <w:rPr>
          <w:rFonts w:hint="default" w:ascii="Segoe UI" w:hAnsi="Segoe UI" w:eastAsia="宋体" w:cs="Segoe UI"/>
          <w:color w:val="000000"/>
          <w:kern w:val="0"/>
          <w:sz w:val="21"/>
          <w:szCs w:val="21"/>
          <w:lang w:val="en-US"/>
        </w:rPr>
        <w:t>Cell Death Differ. 2024 Apr;31(4):417-430. </w:t>
      </w:r>
    </w:p>
    <w:p w14:paraId="15877E5D">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default" w:ascii="Segoe UI" w:hAnsi="Segoe UI" w:eastAsia="宋体" w:cs="Segoe UI"/>
          <w:color w:val="000000"/>
          <w:kern w:val="0"/>
          <w:sz w:val="21"/>
          <w:szCs w:val="21"/>
          <w:lang w:val="en-US"/>
        </w:rPr>
      </w:pPr>
      <w:r>
        <w:rPr>
          <w:rFonts w:hint="default" w:ascii="Segoe UI" w:hAnsi="Segoe UI" w:eastAsia="宋体" w:cs="Segoe UI"/>
          <w:color w:val="000000"/>
          <w:kern w:val="0"/>
          <w:sz w:val="21"/>
          <w:szCs w:val="21"/>
          <w:lang w:val="en-US"/>
        </w:rPr>
        <w:t>Wang X, Ren X, Lin X, Li Q, Zhang Y, Deng J, Chen B, Ru G, Luo Y*, </w:t>
      </w:r>
      <w:r>
        <w:rPr>
          <w:rFonts w:hint="default" w:ascii="Segoe UI" w:hAnsi="Segoe UI" w:eastAsia="宋体" w:cs="Segoe UI"/>
          <w:b/>
          <w:bCs w:val="0"/>
          <w:color w:val="000000"/>
          <w:kern w:val="0"/>
          <w:sz w:val="21"/>
          <w:szCs w:val="21"/>
          <w:lang w:val="en-US"/>
        </w:rPr>
        <w:t>Lin N*</w:t>
      </w:r>
      <w:r>
        <w:rPr>
          <w:rFonts w:hint="default" w:ascii="Segoe UI" w:hAnsi="Segoe UI" w:eastAsia="宋体" w:cs="Segoe UI"/>
          <w:color w:val="000000"/>
          <w:kern w:val="0"/>
          <w:sz w:val="21"/>
          <w:szCs w:val="21"/>
          <w:lang w:val="en-US"/>
        </w:rPr>
        <w:t>. Recent progress of ferroptosis in cancers and drug discovery. Asian J Pharm Sci. 2024 Aug;19(4):100939.</w:t>
      </w:r>
    </w:p>
    <w:p w14:paraId="349B791B">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default" w:ascii="Segoe UI" w:hAnsi="Segoe UI" w:eastAsia="宋体" w:cs="Segoe UI"/>
          <w:color w:val="000000"/>
          <w:kern w:val="0"/>
          <w:sz w:val="21"/>
          <w:szCs w:val="21"/>
          <w:lang w:val="en-US"/>
        </w:rPr>
      </w:pPr>
      <w:r>
        <w:rPr>
          <w:rFonts w:hint="default" w:ascii="Segoe UI" w:hAnsi="Segoe UI" w:eastAsia="宋体" w:cs="Segoe UI"/>
          <w:color w:val="000000"/>
          <w:kern w:val="0"/>
          <w:sz w:val="21"/>
          <w:szCs w:val="21"/>
          <w:lang w:val="en-US"/>
        </w:rPr>
        <w:t xml:space="preserve">Deng J, Lin X, Qin J, Li Q, Zhang Y, Zhang Q, Ji C, Shen S, Li Y*, Zhang B,* </w:t>
      </w:r>
      <w:r>
        <w:rPr>
          <w:rFonts w:hint="default" w:ascii="Segoe UI" w:hAnsi="Segoe UI" w:eastAsia="宋体" w:cs="Segoe UI"/>
          <w:b/>
          <w:bCs w:val="0"/>
          <w:color w:val="000000"/>
          <w:kern w:val="0"/>
          <w:sz w:val="21"/>
          <w:szCs w:val="21"/>
          <w:lang w:val="en-US"/>
        </w:rPr>
        <w:t>Lin N*</w:t>
      </w:r>
      <w:r>
        <w:rPr>
          <w:rFonts w:hint="default" w:ascii="Segoe UI" w:hAnsi="Segoe UI" w:eastAsia="宋体" w:cs="Segoe UI"/>
          <w:color w:val="000000"/>
          <w:kern w:val="0"/>
          <w:sz w:val="21"/>
          <w:szCs w:val="21"/>
          <w:lang w:val="en-US"/>
        </w:rPr>
        <w:t>. SPTBN2 suppresses ferroptosis in NSCLC cells by facilitating SLC7A11 membrane trafficking and localization.Redox Biol. 2024 Apr;70:103039.</w:t>
      </w:r>
    </w:p>
    <w:p w14:paraId="38D5EB0A">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default" w:ascii="Segoe UI" w:hAnsi="Segoe UI" w:eastAsia="宋体" w:cs="Segoe UI"/>
          <w:color w:val="000000"/>
          <w:kern w:val="0"/>
          <w:sz w:val="21"/>
          <w:szCs w:val="21"/>
          <w:lang w:val="en-US"/>
        </w:rPr>
      </w:pPr>
      <w:r>
        <w:rPr>
          <w:rFonts w:hint="default" w:ascii="Segoe UI" w:hAnsi="Segoe UI" w:eastAsia="宋体" w:cs="Segoe UI"/>
          <w:color w:val="000000"/>
          <w:kern w:val="0"/>
          <w:sz w:val="21"/>
          <w:szCs w:val="21"/>
          <w:lang w:val="en-US"/>
        </w:rPr>
        <w:t xml:space="preserve">Wu J, Ma T, Zhu M, Mu J, Huang T, Xu D, </w:t>
      </w:r>
      <w:r>
        <w:rPr>
          <w:rFonts w:hint="default" w:ascii="Segoe UI" w:hAnsi="Segoe UI" w:eastAsia="宋体" w:cs="Segoe UI"/>
          <w:b/>
          <w:bCs w:val="0"/>
          <w:color w:val="000000"/>
          <w:kern w:val="0"/>
          <w:sz w:val="21"/>
          <w:szCs w:val="21"/>
          <w:lang w:val="en-US"/>
        </w:rPr>
        <w:t>Lin N*</w:t>
      </w:r>
      <w:r>
        <w:rPr>
          <w:rFonts w:hint="default" w:ascii="Segoe UI" w:hAnsi="Segoe UI" w:eastAsia="宋体" w:cs="Segoe UI"/>
          <w:color w:val="000000"/>
          <w:kern w:val="0"/>
          <w:sz w:val="21"/>
          <w:szCs w:val="21"/>
          <w:lang w:val="en-US"/>
        </w:rPr>
        <w:t>, Gao J*. A Pluripotential Neutrophil-Mimic Nanovehicle Modulates Immune Microenvironment with Targeted Drug Delivery for Augmented Antitumor Chemotherapy.ACS Nano. 2024 Feb 9. doi: 10.1021/acsnano.3c12694. Online ahead of print.</w:t>
      </w:r>
    </w:p>
    <w:p w14:paraId="4209A187">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default" w:ascii="Segoe UI" w:hAnsi="Segoe UI" w:eastAsia="宋体" w:cs="Segoe UI"/>
          <w:color w:val="000000"/>
          <w:kern w:val="0"/>
          <w:sz w:val="21"/>
          <w:szCs w:val="21"/>
          <w:lang w:val="en-US"/>
        </w:rPr>
      </w:pPr>
      <w:r>
        <w:rPr>
          <w:rFonts w:hint="default" w:ascii="Segoe UI" w:hAnsi="Segoe UI" w:eastAsia="宋体" w:cs="Segoe UI"/>
          <w:color w:val="000000"/>
          <w:kern w:val="0"/>
          <w:sz w:val="21"/>
          <w:szCs w:val="21"/>
          <w:lang w:val="en-US"/>
        </w:rPr>
        <w:t xml:space="preserve">Wu JH, Ma T, Zhu MN, Huang TC, Zhang B*, Gao JQ*, </w:t>
      </w:r>
      <w:r>
        <w:rPr>
          <w:rFonts w:hint="default" w:ascii="Segoe UI" w:hAnsi="Segoe UI" w:eastAsia="宋体" w:cs="Segoe UI"/>
          <w:b/>
          <w:bCs w:val="0"/>
          <w:color w:val="000000"/>
          <w:kern w:val="0"/>
          <w:sz w:val="21"/>
          <w:szCs w:val="21"/>
          <w:lang w:val="en-US"/>
        </w:rPr>
        <w:t>Lin NM*</w:t>
      </w:r>
      <w:r>
        <w:rPr>
          <w:rFonts w:hint="default" w:ascii="Segoe UI" w:hAnsi="Segoe UI" w:eastAsia="宋体" w:cs="Segoe UI"/>
          <w:color w:val="000000"/>
          <w:kern w:val="0"/>
          <w:sz w:val="21"/>
          <w:szCs w:val="21"/>
          <w:lang w:val="en-US"/>
        </w:rPr>
        <w:t xml:space="preserve">. Nanotechnology reinforced neutrophil-based therapeutic strategies for inflammatory diseases therapy. Nano Today. 2022 Aug 8;46:101577. </w:t>
      </w:r>
    </w:p>
    <w:p w14:paraId="5DC113C7">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default" w:ascii="Segoe UI" w:hAnsi="Segoe UI" w:eastAsia="宋体" w:cs="Segoe UI"/>
          <w:color w:val="000000"/>
          <w:kern w:val="0"/>
          <w:sz w:val="21"/>
          <w:szCs w:val="21"/>
          <w:lang w:val="en-US"/>
        </w:rPr>
      </w:pPr>
      <w:r>
        <w:rPr>
          <w:rFonts w:hint="default" w:ascii="Segoe UI" w:hAnsi="Segoe UI" w:eastAsia="宋体" w:cs="Segoe UI"/>
          <w:color w:val="000000"/>
          <w:kern w:val="0"/>
          <w:sz w:val="21"/>
          <w:szCs w:val="21"/>
          <w:lang w:val="en-US"/>
        </w:rPr>
        <w:t xml:space="preserve">Li YL, Zhang MM, Wu LW, Liu YH, Zhang ZY, Zeng LH, </w:t>
      </w:r>
      <w:r>
        <w:rPr>
          <w:rFonts w:hint="default" w:ascii="Segoe UI" w:hAnsi="Segoe UI" w:eastAsia="宋体" w:cs="Segoe UI"/>
          <w:b/>
          <w:bCs w:val="0"/>
          <w:color w:val="000000"/>
          <w:kern w:val="0"/>
          <w:sz w:val="21"/>
          <w:szCs w:val="21"/>
          <w:lang w:val="en-US"/>
        </w:rPr>
        <w:t>Lin NM*</w:t>
      </w:r>
      <w:r>
        <w:rPr>
          <w:rFonts w:hint="default" w:ascii="Segoe UI" w:hAnsi="Segoe UI" w:eastAsia="宋体" w:cs="Segoe UI"/>
          <w:color w:val="000000"/>
          <w:kern w:val="0"/>
          <w:sz w:val="21"/>
          <w:szCs w:val="21"/>
          <w:lang w:val="en-US"/>
        </w:rPr>
        <w:t xml:space="preserve">, Zhang C*. DYRK1A reinforces epithelial-mesenchymal transition and metastasis of hepatocellular carcinoma via cooperatively activating STAT3 and SMAD. J Biomed Sci. 2022 Jun 2;29(1):34.  </w:t>
      </w:r>
    </w:p>
    <w:p w14:paraId="65DAFC2F">
      <w:pPr>
        <w:pStyle w:val="20"/>
        <w:keepNext w:val="0"/>
        <w:keepLines w:val="0"/>
        <w:pageBreakBefore w:val="0"/>
        <w:widowControl/>
        <w:numPr>
          <w:ilvl w:val="0"/>
          <w:numId w:val="1"/>
        </w:numPr>
        <w:suppressLineNumbers w:val="0"/>
        <w:kinsoku/>
        <w:wordWrap/>
        <w:overflowPunct/>
        <w:topLinePunct w:val="0"/>
        <w:autoSpaceDE/>
        <w:autoSpaceDN/>
        <w:bidi w:val="0"/>
        <w:adjustRightInd/>
        <w:snapToGrid/>
        <w:spacing w:line="360" w:lineRule="auto"/>
        <w:ind w:left="360" w:hanging="360" w:firstLineChars="0"/>
        <w:jc w:val="left"/>
        <w:textAlignment w:val="auto"/>
        <w:rPr>
          <w:rFonts w:hint="default" w:ascii="Segoe UI" w:hAnsi="Segoe UI" w:eastAsia="宋体" w:cs="Segoe UI"/>
          <w:color w:val="000000"/>
          <w:kern w:val="0"/>
          <w:sz w:val="21"/>
          <w:szCs w:val="21"/>
          <w:lang w:val="en-US"/>
        </w:rPr>
      </w:pPr>
      <w:r>
        <w:rPr>
          <w:rFonts w:hint="default" w:ascii="Segoe UI" w:hAnsi="Segoe UI" w:eastAsia="宋体" w:cs="Segoe UI"/>
          <w:color w:val="000000"/>
          <w:kern w:val="0"/>
          <w:sz w:val="21"/>
          <w:szCs w:val="21"/>
          <w:lang w:val="en-US"/>
        </w:rPr>
        <w:t xml:space="preserve">Guo R, Huang F, Zhang B, Yan Y, Che J, Jin Y, Zhuang Y, Dong R, Li Y, Tan B, Song R, Hu Y, Dong X*, Li X*, </w:t>
      </w:r>
      <w:r>
        <w:rPr>
          <w:rFonts w:hint="default" w:ascii="Segoe UI" w:hAnsi="Segoe UI" w:eastAsia="宋体" w:cs="Segoe UI"/>
          <w:b/>
          <w:bCs w:val="0"/>
          <w:color w:val="000000"/>
          <w:kern w:val="0"/>
          <w:sz w:val="21"/>
          <w:szCs w:val="21"/>
          <w:lang w:val="en-US"/>
        </w:rPr>
        <w:t>Lin N*</w:t>
      </w:r>
      <w:r>
        <w:rPr>
          <w:rFonts w:hint="default" w:ascii="Segoe UI" w:hAnsi="Segoe UI" w:eastAsia="宋体" w:cs="Segoe UI"/>
          <w:color w:val="000000"/>
          <w:kern w:val="0"/>
          <w:sz w:val="21"/>
          <w:szCs w:val="21"/>
          <w:lang w:val="en-US"/>
        </w:rPr>
        <w:t xml:space="preserve">. GSH Activated Biotin-tagged Near-Infrared Probe for Efficient Cancer Imaging.Theranostics. 2019 May 26;9(12):3515-3525. </w:t>
      </w:r>
    </w:p>
    <w:p w14:paraId="30AEC368">
      <w:pPr>
        <w:widowControl/>
        <w:rPr>
          <w:rFonts w:ascii="Calibri" w:hAnsi="Calibri" w:eastAsia="宋体" w:cs="Calibri"/>
          <w:kern w:val="0"/>
          <w:szCs w:val="21"/>
        </w:rPr>
      </w:pPr>
    </w:p>
    <w:p w14:paraId="59142314">
      <w:pPr>
        <w:widowControl/>
        <w:spacing w:line="360" w:lineRule="auto"/>
        <w:rPr>
          <w:rFonts w:ascii="Calibri" w:hAnsi="Calibri" w:eastAsia="宋体" w:cs="Calibri"/>
          <w:b/>
          <w:bCs/>
          <w:color w:val="009DAB"/>
          <w:kern w:val="0"/>
          <w:szCs w:val="21"/>
        </w:rPr>
      </w:pPr>
      <w:r>
        <w:rPr>
          <w:rFonts w:hint="eastAsia" w:ascii="宋体" w:hAnsi="宋体" w:eastAsia="宋体" w:cs="Calibri"/>
          <w:b/>
          <w:bCs/>
          <w:color w:val="009DAB"/>
          <w:kern w:val="0"/>
          <w:szCs w:val="21"/>
        </w:rPr>
        <w:t>联系方式</w:t>
      </w:r>
    </w:p>
    <w:p w14:paraId="50B236A9">
      <w:pPr>
        <w:widowControl/>
        <w:spacing w:line="360" w:lineRule="auto"/>
        <w:rPr>
          <w:rFonts w:hint="eastAsia" w:ascii="Calibri" w:hAnsi="Calibri" w:eastAsia="宋体" w:cs="Calibri"/>
          <w:kern w:val="0"/>
          <w:szCs w:val="21"/>
        </w:rPr>
      </w:pPr>
      <w:r>
        <w:rPr>
          <w:rFonts w:hint="eastAsia" w:ascii="Calibri" w:hAnsi="Calibri" w:eastAsia="宋体" w:cs="Calibri"/>
          <w:kern w:val="0"/>
          <w:szCs w:val="21"/>
        </w:rPr>
        <w:t>办公室号码：0571-56007888</w:t>
      </w:r>
    </w:p>
    <w:p w14:paraId="30531962">
      <w:pPr>
        <w:widowControl/>
        <w:spacing w:line="360" w:lineRule="auto"/>
        <w:rPr>
          <w:rFonts w:ascii="Calibri" w:hAnsi="Calibri" w:eastAsia="宋体" w:cs="Calibri"/>
          <w:kern w:val="0"/>
          <w:szCs w:val="21"/>
        </w:rPr>
      </w:pPr>
      <w:r>
        <w:rPr>
          <w:rFonts w:hint="eastAsia" w:ascii="Calibri" w:hAnsi="Calibri" w:eastAsia="宋体" w:cs="Calibri"/>
          <w:kern w:val="0"/>
          <w:szCs w:val="21"/>
        </w:rPr>
        <w:t>手机号码：13675833399</w:t>
      </w:r>
    </w:p>
    <w:p w14:paraId="44D8062C">
      <w:pPr>
        <w:widowControl/>
        <w:spacing w:line="360" w:lineRule="auto"/>
        <w:rPr>
          <w:rFonts w:ascii="宋体" w:hAnsi="宋体" w:eastAsia="宋体" w:cs="Calibri"/>
          <w:kern w:val="0"/>
          <w:szCs w:val="21"/>
        </w:rPr>
      </w:pPr>
      <w:r>
        <w:rPr>
          <w:rFonts w:hint="eastAsia" w:ascii="宋体" w:hAnsi="宋体" w:eastAsia="宋体" w:cs="Calibri"/>
          <w:kern w:val="0"/>
          <w:szCs w:val="21"/>
        </w:rPr>
        <w:t>电子邮箱：lnm1013</w:t>
      </w:r>
      <w:r>
        <w:rPr>
          <w:rFonts w:ascii="宋体" w:hAnsi="宋体" w:eastAsia="宋体" w:cs="Calibri"/>
          <w:kern w:val="0"/>
          <w:szCs w:val="21"/>
        </w:rPr>
        <w:t>@</w:t>
      </w:r>
      <w:r>
        <w:rPr>
          <w:rFonts w:hint="eastAsia" w:ascii="宋体" w:hAnsi="宋体" w:eastAsia="宋体" w:cs="Calibri"/>
          <w:kern w:val="0"/>
          <w:szCs w:val="21"/>
        </w:rPr>
        <w:t>zju.edu.cn; lnm1013@163.com</w:t>
      </w:r>
    </w:p>
    <w:p w14:paraId="024BAD4F">
      <w:pPr>
        <w:widowControl/>
        <w:spacing w:line="360" w:lineRule="auto"/>
        <w:rPr>
          <w:rFonts w:hint="eastAsia" w:ascii="宋体" w:hAnsi="宋体" w:eastAsia="宋体" w:cs="Calibri"/>
          <w:kern w:val="0"/>
          <w:szCs w:val="21"/>
        </w:rPr>
      </w:pPr>
      <w:r>
        <w:rPr>
          <w:rFonts w:hint="eastAsia" w:ascii="宋体" w:hAnsi="宋体" w:eastAsia="宋体" w:cs="Calibri"/>
          <w:kern w:val="0"/>
          <w:szCs w:val="21"/>
          <w:lang w:val="en-US" w:eastAsia="zh-CN"/>
        </w:rPr>
        <w:t>本课题组长期招聘博士后、博士生以及科研助理，欢迎对我们感兴趣的有志青年联系我们,</w:t>
      </w:r>
      <w:r>
        <w:rPr>
          <w:rFonts w:hint="eastAsia" w:ascii="宋体" w:hAnsi="宋体" w:eastAsia="宋体" w:cs="Calibri"/>
          <w:kern w:val="0"/>
          <w:szCs w:val="21"/>
        </w:rPr>
        <w:t>加入我们的团队！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auto"/>
    <w:pitch w:val="variable"/>
    <w:sig w:usb0="E00006FF" w:usb1="420024FF" w:usb2="02000000" w:usb3="00000000" w:csb0="2000019F" w:csb1="00000000"/>
  </w:font>
  <w:font w:name="Segoe UI">
    <w:panose1 w:val="020B0502040204020203"/>
    <w:charset w:val="00"/>
    <w:family w:val="auto"/>
    <w:pitch w:val="variable"/>
    <w:sig w:usb0="E4002EFF" w:usb1="C000E47F" w:usb2="00000009" w:usb3="00000000" w:csb0="200001FF" w:csb1="00000000"/>
  </w:font>
  <w:font w:name="@宋体">
    <w:panose1 w:val="02010600030101010101"/>
    <w:charset w:val="86"/>
    <w:family w:val="auto"/>
    <w:pitch w:val="variable"/>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4F10"/>
    <w:multiLevelType w:val="multilevel"/>
    <w:tmpl w:val="64C14F10"/>
    <w:lvl w:ilvl="0" w:tentative="0">
      <w:start w:val="1"/>
      <w:numFmt w:val="decimal"/>
      <w:lvlText w:val="%1."/>
      <w:lvlJc w:val="left"/>
      <w:pPr>
        <w:ind w:left="360" w:hanging="360"/>
      </w:pPr>
      <w:rPr>
        <w:color w:val="212121"/>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AB3"/>
    <w:rsid w:val="0003051C"/>
    <w:rsid w:val="000550D6"/>
    <w:rsid w:val="00070E2A"/>
    <w:rsid w:val="00076344"/>
    <w:rsid w:val="000810D2"/>
    <w:rsid w:val="000A4AB3"/>
    <w:rsid w:val="000B529A"/>
    <w:rsid w:val="000B73F0"/>
    <w:rsid w:val="001275B8"/>
    <w:rsid w:val="00140AEB"/>
    <w:rsid w:val="00163E8F"/>
    <w:rsid w:val="001911E6"/>
    <w:rsid w:val="0019635C"/>
    <w:rsid w:val="001F5710"/>
    <w:rsid w:val="002012A2"/>
    <w:rsid w:val="00210EF5"/>
    <w:rsid w:val="002C0F69"/>
    <w:rsid w:val="002F4190"/>
    <w:rsid w:val="003252DF"/>
    <w:rsid w:val="003342AC"/>
    <w:rsid w:val="003C4932"/>
    <w:rsid w:val="00457756"/>
    <w:rsid w:val="00462800"/>
    <w:rsid w:val="004E56C5"/>
    <w:rsid w:val="0051645B"/>
    <w:rsid w:val="005762BF"/>
    <w:rsid w:val="005D7D72"/>
    <w:rsid w:val="007F25FA"/>
    <w:rsid w:val="0084042D"/>
    <w:rsid w:val="00857768"/>
    <w:rsid w:val="0088067F"/>
    <w:rsid w:val="00986CB6"/>
    <w:rsid w:val="009A14B5"/>
    <w:rsid w:val="00A0467F"/>
    <w:rsid w:val="00A30ABD"/>
    <w:rsid w:val="00A40A00"/>
    <w:rsid w:val="00A4454C"/>
    <w:rsid w:val="00D92E44"/>
    <w:rsid w:val="00DB53D5"/>
    <w:rsid w:val="00DC3BBC"/>
    <w:rsid w:val="00DE699F"/>
    <w:rsid w:val="00E21132"/>
    <w:rsid w:val="00E615FE"/>
    <w:rsid w:val="00EC3E44"/>
    <w:rsid w:val="00F5736D"/>
    <w:rsid w:val="00F701D2"/>
    <w:rsid w:val="039E11BA"/>
    <w:rsid w:val="0D2364B4"/>
    <w:rsid w:val="127D4165"/>
    <w:rsid w:val="165B14FE"/>
    <w:rsid w:val="295379CE"/>
    <w:rsid w:val="2F306030"/>
    <w:rsid w:val="34FD2B01"/>
    <w:rsid w:val="3E8B6203"/>
    <w:rsid w:val="48A30C0F"/>
    <w:rsid w:val="49196526"/>
    <w:rsid w:val="56A41247"/>
    <w:rsid w:val="62946B14"/>
    <w:rsid w:val="6433536A"/>
    <w:rsid w:val="679E58C1"/>
    <w:rsid w:val="756B2D91"/>
    <w:rsid w:val="78801C2E"/>
    <w:rsid w:val="7E235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Balloon Text"/>
    <w:basedOn w:val="1"/>
    <w:link w:val="15"/>
    <w:semiHidden/>
    <w:unhideWhenUsed/>
    <w:uiPriority w:val="99"/>
    <w:rPr>
      <w:sz w:val="18"/>
      <w:szCs w:val="18"/>
    </w:rPr>
  </w:style>
  <w:style w:type="paragraph" w:styleId="3">
    <w:name w:val="footer"/>
    <w:basedOn w:val="1"/>
    <w:link w:val="17"/>
    <w:semiHidden/>
    <w:unhideWhenUsed/>
    <w:uiPriority w:val="99"/>
    <w:pPr>
      <w:tabs>
        <w:tab w:val="center" w:pos="4153"/>
        <w:tab w:val="right" w:pos="8306"/>
      </w:tabs>
      <w:snapToGrid w:val="0"/>
      <w:jc w:val="left"/>
    </w:pPr>
    <w:rPr>
      <w:sz w:val="18"/>
      <w:szCs w:val="18"/>
    </w:rPr>
  </w:style>
  <w:style w:type="paragraph" w:styleId="4">
    <w:name w:val="header"/>
    <w:basedOn w:val="1"/>
    <w:link w:val="16"/>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Emphasis"/>
    <w:basedOn w:val="7"/>
    <w:qFormat/>
    <w:uiPriority w:val="20"/>
    <w:rPr>
      <w:i/>
      <w:iCs/>
    </w:rPr>
  </w:style>
  <w:style w:type="character" w:styleId="10">
    <w:name w:val="Hyperlink"/>
    <w:basedOn w:val="7"/>
    <w:semiHidden/>
    <w:unhideWhenUsed/>
    <w:qFormat/>
    <w:uiPriority w:val="99"/>
    <w:rPr>
      <w:color w:val="0000FF"/>
      <w:u w:val="single"/>
    </w:rPr>
  </w:style>
  <w:style w:type="paragraph" w:customStyle="1" w:styleId="11">
    <w:name w:val="nam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2">
    <w:name w:val="schoo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pos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title"/>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
    <w:name w:val="批注框文本 Char"/>
    <w:basedOn w:val="7"/>
    <w:link w:val="2"/>
    <w:semiHidden/>
    <w:qFormat/>
    <w:uiPriority w:val="99"/>
    <w:rPr>
      <w:sz w:val="18"/>
      <w:szCs w:val="18"/>
    </w:rPr>
  </w:style>
  <w:style w:type="character" w:customStyle="1" w:styleId="16">
    <w:name w:val="页眉 Char"/>
    <w:basedOn w:val="7"/>
    <w:link w:val="4"/>
    <w:semiHidden/>
    <w:qFormat/>
    <w:uiPriority w:val="99"/>
    <w:rPr>
      <w:sz w:val="18"/>
      <w:szCs w:val="18"/>
    </w:rPr>
  </w:style>
  <w:style w:type="character" w:customStyle="1" w:styleId="17">
    <w:name w:val="页脚 Char"/>
    <w:basedOn w:val="7"/>
    <w:link w:val="3"/>
    <w:semiHidden/>
    <w:qFormat/>
    <w:uiPriority w:val="99"/>
    <w:rPr>
      <w:sz w:val="18"/>
      <w:szCs w:val="18"/>
    </w:rPr>
  </w:style>
  <w:style w:type="character" w:customStyle="1" w:styleId="18">
    <w:name w:val="docsum-authors"/>
    <w:basedOn w:val="7"/>
    <w:qFormat/>
    <w:uiPriority w:val="0"/>
  </w:style>
  <w:style w:type="character" w:customStyle="1" w:styleId="19">
    <w:name w:val="docsum-journal-citation"/>
    <w:basedOn w:val="7"/>
    <w:qFormat/>
    <w:uiPriority w:val="0"/>
  </w:style>
  <w:style w:type="paragraph" w:customStyle="1" w:styleId="20">
    <w:name w:val="msolistparagraph"/>
    <w:basedOn w:val="1"/>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843</Words>
  <Characters>1757</Characters>
  <Lines>13</Lines>
  <Paragraphs>3</Paragraphs>
  <TotalTime>6</TotalTime>
  <ScaleCrop>false</ScaleCrop>
  <LinksUpToDate>false</LinksUpToDate>
  <CharactersWithSpaces>1949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2024-03-01T02:31:00Z</dcterms:created>
  <dc:creator>林能明</dc:creator>
  <cp:lastModifiedBy>林能明</cp:lastModifiedBy>
  <dcterms:modified xsi:type="dcterms:W3CDTF">2026-01-26T04:26:24Z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DB9604E6387B4CFE81D2866554A689AD_13</vt:lpwstr>
  </property>
  <property fmtid="{D5CDD505-2E9C-101B-9397-08002B2CF9AE}" pid="4" name="KSOTemplateDocerSaveRecord">
    <vt:lpwstr>eyJoZGlkIjoiN2JlODc5OThhNTc1OGU1N2EyYzAwYjUyNDY0YjRiYjQiLCJ1c2VySWQiOiI1Mzc5MzY5NTIifQ==</vt:lpwstr>
  </property>
</Properties>
</file>