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450BF1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许轶洲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博士</w:t>
      </w:r>
    </w:p>
    <w:p w14:paraId="4A1FDEB2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Yizhou Xu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,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Dr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 xml:space="preserve">, </w:t>
      </w: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t>Ph.D.</w:t>
      </w:r>
    </w:p>
    <w:p w14:paraId="03306533"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color w:val="009DAB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9DAB"/>
          <w:kern w:val="0"/>
          <w:sz w:val="24"/>
          <w:szCs w:val="24"/>
        </w:rPr>
        <w:t>医学院</w:t>
      </w:r>
      <w:r>
        <w:rPr>
          <w:rFonts w:hint="eastAsia" w:ascii="宋体" w:hAnsi="宋体" w:eastAsia="宋体" w:cs="宋体"/>
          <w:color w:val="009DAB"/>
          <w:kern w:val="0"/>
          <w:sz w:val="24"/>
          <w:szCs w:val="24"/>
        </w:rPr>
        <w:t>附属杭州市第一人民医院</w:t>
      </w:r>
    </w:p>
    <w:p w14:paraId="2954A80F"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心血管病</w: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t>学</w:t>
      </w:r>
    </w:p>
    <w:p w14:paraId="63895A03">
      <w:pPr>
        <w:widowControl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杭州市第一人民医院心脏中心主任、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心血管病学学科带头人</w:t>
      </w:r>
    </w:p>
    <w:p w14:paraId="1D0B0CF0"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14:paraId="2AA61222">
      <w:pPr>
        <w:widowControl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邮箱: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qqyzxu@hotmail.com</w:t>
      </w:r>
    </w:p>
    <w:p w14:paraId="12FDC89C">
      <w:pPr>
        <w:widowControl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网站:</w:t>
      </w:r>
    </w:p>
    <w:p w14:paraId="5CE5AE7A">
      <w:pPr>
        <w:widowControl/>
        <w:jc w:val="left"/>
        <w:textAlignment w:val="top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</w:rPr>
        <w:drawing>
          <wp:inline distT="0" distB="0" distL="0" distR="0">
            <wp:extent cx="2214880" cy="3322955"/>
            <wp:effectExtent l="0" t="0" r="10160" b="14605"/>
            <wp:docPr id="1026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BE375">
      <w:pPr>
        <w:widowControl/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个人简介</w:t>
      </w:r>
    </w:p>
    <w:p w14:paraId="59163805">
      <w:pPr>
        <w:widowControl/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</w:pPr>
    </w:p>
    <w:p w14:paraId="76466D66">
      <w:pPr>
        <w:widowControl/>
        <w:spacing w:line="360" w:lineRule="auto"/>
        <w:rPr>
          <w:rFonts w:ascii="Calibri" w:hAnsi="Calibri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许轶洲</w:t>
      </w:r>
      <w:r>
        <w:rPr>
          <w:rFonts w:hint="eastAsia" w:ascii="宋体" w:hAnsi="宋体" w:eastAsia="宋体" w:cs="Calibri"/>
          <w:kern w:val="0"/>
          <w:szCs w:val="21"/>
        </w:rPr>
        <w:t>，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浙江大学</w:t>
      </w:r>
      <w:r>
        <w:rPr>
          <w:rFonts w:hint="eastAsia" w:ascii="Calibri" w:hAnsi="Calibri" w:eastAsia="宋体" w:cs="Calibri"/>
          <w:kern w:val="0"/>
          <w:szCs w:val="21"/>
        </w:rPr>
        <w:t>医学博士，</w:t>
      </w:r>
      <w:r>
        <w:rPr>
          <w:rFonts w:hint="eastAsia" w:ascii="宋体" w:hAnsi="宋体" w:eastAsia="宋体" w:cs="Calibri"/>
          <w:kern w:val="0"/>
          <w:szCs w:val="21"/>
        </w:rPr>
        <w:t>教授</w:t>
      </w:r>
      <w:r>
        <w:rPr>
          <w:rFonts w:hint="eastAsia" w:ascii="宋体" w:hAnsi="宋体" w:eastAsia="宋体" w:cs="Calibri"/>
          <w:kern w:val="0"/>
          <w:szCs w:val="21"/>
          <w:lang w:eastAsia="zh-CN"/>
        </w:rPr>
        <w:t>，博士生导师</w:t>
      </w:r>
      <w:r>
        <w:rPr>
          <w:rFonts w:hint="eastAsia" w:ascii="宋体" w:hAnsi="宋体" w:eastAsia="宋体" w:cs="Calibri"/>
          <w:kern w:val="0"/>
          <w:szCs w:val="21"/>
        </w:rPr>
        <w:t>，主任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医</w:t>
      </w:r>
      <w:r>
        <w:rPr>
          <w:rFonts w:hint="eastAsia" w:ascii="宋体" w:hAnsi="宋体" w:eastAsia="宋体" w:cs="Calibri"/>
          <w:kern w:val="0"/>
          <w:szCs w:val="21"/>
        </w:rPr>
        <w:t>师</w:t>
      </w:r>
      <w:r>
        <w:rPr>
          <w:rFonts w:hint="eastAsia" w:ascii="宋体" w:hAnsi="宋体" w:eastAsia="宋体" w:cs="Calibri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Calibri"/>
          <w:kern w:val="0"/>
          <w:szCs w:val="21"/>
        </w:rPr>
        <w:t>现为</w:t>
      </w:r>
      <w:r>
        <w:rPr>
          <w:rFonts w:hint="eastAsia" w:ascii="Calibri" w:hAnsi="Calibri" w:eastAsia="宋体" w:cs="Calibri"/>
          <w:kern w:val="0"/>
          <w:szCs w:val="21"/>
        </w:rPr>
        <w:t>西湖大学附属杭州市第一人民医院</w:t>
      </w:r>
      <w:r>
        <w:rPr>
          <w:rFonts w:hint="eastAsia" w:ascii="宋体" w:hAnsi="宋体" w:eastAsia="宋体" w:cs="Calibri"/>
          <w:kern w:val="0"/>
          <w:szCs w:val="21"/>
        </w:rPr>
        <w:t>心内科</w:t>
      </w:r>
      <w:r>
        <w:rPr>
          <w:rFonts w:hint="eastAsia" w:ascii="Calibri" w:hAnsi="Calibri" w:eastAsia="宋体" w:cs="Calibri"/>
          <w:kern w:val="0"/>
          <w:szCs w:val="21"/>
        </w:rPr>
        <w:t>（市医学重点学科）</w:t>
      </w:r>
      <w:r>
        <w:rPr>
          <w:rFonts w:hint="eastAsia" w:ascii="宋体" w:hAnsi="宋体" w:eastAsia="宋体" w:cs="Calibri"/>
          <w:kern w:val="0"/>
          <w:szCs w:val="21"/>
        </w:rPr>
        <w:t>主任</w:t>
      </w:r>
      <w:r>
        <w:rPr>
          <w:rFonts w:hint="eastAsia" w:ascii="宋体" w:hAnsi="宋体" w:eastAsia="宋体" w:cs="Calibri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Calibri"/>
          <w:kern w:val="0"/>
          <w:szCs w:val="21"/>
        </w:rPr>
        <w:t>学科带头人</w:t>
      </w:r>
      <w:r>
        <w:rPr>
          <w:rFonts w:hint="eastAsia" w:ascii="Calibri" w:hAnsi="Calibri" w:eastAsia="宋体" w:cs="Calibri"/>
          <w:kern w:val="0"/>
          <w:szCs w:val="21"/>
        </w:rPr>
        <w:t>。中国医学科学院阜外心血管病医院心律失常诊疗中心博士后，美国梅奥诊所医学中心访问学者。中华医学会心电生理和起搏分会 青年委员、电生理工作委员会 委员、心衰器械植入委员会 委员；中华医学会心血管病分会</w:t>
      </w:r>
      <w:r>
        <w:rPr>
          <w:rFonts w:hint="eastAsia" w:ascii="Calibri" w:hAnsi="Calibri" w:eastAsia="宋体" w:cs="Calibri"/>
          <w:kern w:val="0"/>
          <w:szCs w:val="21"/>
          <w:lang w:eastAsia="zh-CN"/>
        </w:rPr>
        <w:t>（</w:t>
      </w:r>
      <w:r>
        <w:rPr>
          <w:rFonts w:hint="eastAsia" w:ascii="Calibri" w:hAnsi="Calibri" w:eastAsia="宋体" w:cs="Calibri"/>
          <w:kern w:val="0"/>
          <w:szCs w:val="21"/>
        </w:rPr>
        <w:t>心律失常学组</w:t>
      </w:r>
      <w:r>
        <w:rPr>
          <w:rFonts w:hint="eastAsia" w:ascii="Calibri" w:hAnsi="Calibri" w:eastAsia="宋体" w:cs="Calibri"/>
          <w:kern w:val="0"/>
          <w:szCs w:val="21"/>
          <w:lang w:eastAsia="zh-CN"/>
        </w:rPr>
        <w:t>）</w:t>
      </w:r>
      <w:r>
        <w:rPr>
          <w:rFonts w:hint="eastAsia" w:ascii="Calibri" w:hAnsi="Calibri" w:eastAsia="宋体" w:cs="Calibri"/>
          <w:kern w:val="0"/>
          <w:szCs w:val="21"/>
        </w:rPr>
        <w:t>委员；中国医师协会心律学专委会委员；中国医师协会心律学专委会女医师委员会委员；中国控烟协会康复与中医学专委会副主任委员；浙江省医学会心电生理与起搏分会副主任委员；浙江省生物医学工程学会心律学分会委员；浙江省卒中学会心血管病学会副主任委员；杭州市医学会心电生理与起搏分会主任委员，杭州市预防医学会慢性病防控专委会副主主任委员。目前担任杭州市第十届政协委员，2011年入选杭州市“131”中青年人才培养计划第一层次人选，2016年入选浙江省卫生创新人才培养计划</w:t>
      </w:r>
      <w:r>
        <w:rPr>
          <w:rFonts w:hint="eastAsia" w:ascii="Calibri" w:hAnsi="Calibri" w:eastAsia="宋体" w:cs="Calibri"/>
          <w:kern w:val="0"/>
          <w:szCs w:val="21"/>
          <w:lang w:eastAsia="zh-CN"/>
        </w:rPr>
        <w:t>，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2023年入选</w:t>
      </w:r>
      <w:r>
        <w:rPr>
          <w:rFonts w:hint="eastAsia" w:ascii="Calibri" w:hAnsi="Calibri" w:eastAsia="宋体" w:cs="Calibri"/>
          <w:kern w:val="0"/>
          <w:szCs w:val="21"/>
        </w:rPr>
        <w:t>杭州市“西湖明珠工程”特殊支持人才</w:t>
      </w:r>
      <w:r>
        <w:rPr>
          <w:rFonts w:hint="eastAsia" w:ascii="Calibri" w:hAnsi="Calibri" w:cs="Calibri"/>
          <w:kern w:val="0"/>
          <w:szCs w:val="21"/>
          <w:lang w:eastAsia="zh-CN"/>
        </w:rPr>
        <w:t>，</w:t>
      </w:r>
      <w:r>
        <w:rPr>
          <w:rFonts w:hint="eastAsia" w:ascii="Calibri" w:hAnsi="Calibri" w:eastAsia="宋体" w:cs="Calibri"/>
          <w:kern w:val="0"/>
          <w:szCs w:val="21"/>
        </w:rPr>
        <w:t>2024年入选浙江省卫生领军人才。</w:t>
      </w:r>
      <w:r>
        <w:rPr>
          <w:rFonts w:hint="eastAsia" w:ascii="宋体" w:hAnsi="宋体" w:eastAsia="宋体" w:cs="Calibri"/>
          <w:kern w:val="0"/>
          <w:szCs w:val="21"/>
        </w:rPr>
        <w:t>先后担任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南京医科大学</w:t>
      </w:r>
      <w:r>
        <w:rPr>
          <w:rFonts w:hint="eastAsia" w:ascii="宋体" w:hAnsi="宋体" w:eastAsia="宋体" w:cs="Calibri"/>
          <w:kern w:val="0"/>
          <w:szCs w:val="21"/>
        </w:rPr>
        <w:t>、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浙江中医药大学、浙江大学临床医学（心血管病）硕博</w:t>
      </w:r>
      <w:r>
        <w:rPr>
          <w:rFonts w:hint="eastAsia" w:ascii="宋体" w:hAnsi="宋体" w:eastAsia="宋体" w:cs="Calibri"/>
          <w:kern w:val="0"/>
          <w:szCs w:val="21"/>
        </w:rPr>
        <w:t>研究生导师，已培养硕博研究生</w:t>
      </w:r>
      <w:r>
        <w:rPr>
          <w:rFonts w:hint="eastAsia" w:ascii="宋体" w:hAnsi="宋体" w:eastAsia="宋体" w:cs="Calibri"/>
          <w:kern w:val="0"/>
          <w:szCs w:val="21"/>
          <w:lang w:val="en-US" w:eastAsia="zh-CN"/>
        </w:rPr>
        <w:t>15</w:t>
      </w:r>
      <w:r>
        <w:rPr>
          <w:rFonts w:hint="eastAsia" w:ascii="宋体" w:hAnsi="宋体" w:eastAsia="宋体" w:cs="Calibri"/>
          <w:kern w:val="0"/>
          <w:szCs w:val="21"/>
        </w:rPr>
        <w:t>名</w:t>
      </w:r>
      <w:r>
        <w:rPr>
          <w:rFonts w:hint="eastAsia" w:ascii="宋体" w:hAnsi="宋体" w:eastAsia="宋体" w:cs="Calibri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Calibri"/>
          <w:kern w:val="0"/>
          <w:szCs w:val="21"/>
        </w:rPr>
        <w:t>于</w:t>
      </w:r>
      <w:r>
        <w:rPr>
          <w:rFonts w:ascii="Calibri" w:hAnsi="Calibri" w:eastAsia="宋体" w:cs="Calibri"/>
          <w:kern w:val="0"/>
          <w:szCs w:val="21"/>
        </w:rPr>
        <w:t>202</w:t>
      </w:r>
      <w:r>
        <w:rPr>
          <w:rFonts w:hint="eastAsia" w:ascii="Calibri" w:hAnsi="Calibri" w:eastAsia="宋体" w:cs="Calibri"/>
          <w:kern w:val="0"/>
          <w:szCs w:val="21"/>
        </w:rPr>
        <w:t>3</w:t>
      </w:r>
      <w:r>
        <w:rPr>
          <w:rFonts w:hint="eastAsia" w:ascii="宋体" w:hAnsi="宋体" w:eastAsia="宋体" w:cs="Calibri"/>
          <w:kern w:val="0"/>
          <w:szCs w:val="21"/>
        </w:rPr>
        <w:t>年12月加入西湖大学医学院，担任博士生导师。</w:t>
      </w:r>
    </w:p>
    <w:p w14:paraId="46B531C5">
      <w:pPr>
        <w:widowControl/>
        <w:spacing w:line="360" w:lineRule="auto"/>
        <w:rPr>
          <w:rFonts w:ascii="Calibri" w:hAnsi="Calibri" w:eastAsia="宋体" w:cs="Calibri"/>
          <w:kern w:val="0"/>
          <w:szCs w:val="21"/>
        </w:rPr>
      </w:pPr>
    </w:p>
    <w:p w14:paraId="79B81183">
      <w:pPr>
        <w:widowControl/>
        <w:spacing w:line="360" w:lineRule="auto"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学术成果及研究方向</w:t>
      </w:r>
    </w:p>
    <w:p w14:paraId="37E5405B">
      <w:pPr>
        <w:widowControl/>
        <w:spacing w:line="360" w:lineRule="auto"/>
        <w:rPr>
          <w:rFonts w:hint="eastAsia" w:ascii="Calibri" w:hAnsi="Calibri" w:eastAsia="宋体" w:cs="Calibri"/>
          <w:kern w:val="0"/>
          <w:szCs w:val="21"/>
        </w:rPr>
      </w:pPr>
      <w:r>
        <w:rPr>
          <w:rFonts w:hint="eastAsia" w:ascii="Calibri" w:hAnsi="Calibri" w:eastAsia="宋体" w:cs="Calibri"/>
          <w:kern w:val="0"/>
          <w:szCs w:val="21"/>
        </w:rPr>
        <w:t>主要方向为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心力衰竭及</w:t>
      </w:r>
      <w:r>
        <w:rPr>
          <w:rFonts w:hint="eastAsia" w:ascii="Calibri" w:hAnsi="Calibri" w:eastAsia="宋体" w:cs="Calibri"/>
          <w:kern w:val="0"/>
          <w:szCs w:val="21"/>
        </w:rPr>
        <w:t>心脏起搏电生理，擅长各类起搏器植入术、植入型心律转复除颤器和心脏再同步器械植入术；擅长各类快速型心律失常的射频消融术，包括房颤、房扑、室上速、室早、室速等复杂疑难心律失常的射频消融治疗；擅长经皮左心耳封堵术、经皮卵圆孔未闭封堵术等。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担任</w:t>
      </w:r>
      <w:r>
        <w:rPr>
          <w:rFonts w:hint="eastAsia"/>
        </w:rPr>
        <w:t>中华医学会心电生理与起搏分会青年委员、电生理工作委员会委员、心衰器械植入委员会委员；中华医学会心血管病分会心律失常学组委员；中国医师协会心律学专委会 委员、女医师委员会委员；浙江省医学会心电生理与起搏分会 副主任委员；杭州市医学会心电生理与起搏分会主任委员</w:t>
      </w:r>
      <w:r>
        <w:rPr>
          <w:rFonts w:hint="eastAsia"/>
          <w:lang w:val="en-US" w:eastAsia="zh-CN"/>
        </w:rPr>
        <w:t>等学术职务</w:t>
      </w:r>
      <w:r>
        <w:rPr>
          <w:rFonts w:hint="eastAsia"/>
        </w:rPr>
        <w:t>。曾任杭州市第十届、第十一届政协委员。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研究上从</w:t>
      </w:r>
      <w:r>
        <w:rPr>
          <w:rFonts w:hint="eastAsia" w:ascii="Calibri" w:hAnsi="Calibri" w:eastAsia="宋体" w:cs="Calibri"/>
          <w:kern w:val="0"/>
          <w:szCs w:val="21"/>
        </w:rPr>
        <w:t>1）细胞死亡途径调控心力衰竭发病机制的研究及治疗新靶点的开发；2）心力衰竭的中医药干预机制与转化研究；3）心房颤动参与心力衰竭发生发展的临床与基础研究三个方向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聚焦</w:t>
      </w:r>
      <w:r>
        <w:rPr>
          <w:rFonts w:hint="eastAsia" w:ascii="Calibri" w:hAnsi="Calibri" w:eastAsia="宋体" w:cs="Calibri"/>
          <w:kern w:val="0"/>
          <w:szCs w:val="21"/>
        </w:rPr>
        <w:t>心力衰竭的机制研究及创新药物的研发。先后主持国家自然科学基金1项、浙江省自然科学基金3项、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浙江省中管局重点项目</w:t>
      </w:r>
      <w:r>
        <w:rPr>
          <w:rFonts w:hint="eastAsia" w:ascii="Calibri" w:hAnsi="Calibri" w:eastAsia="宋体" w:cs="Calibri"/>
          <w:kern w:val="0"/>
          <w:szCs w:val="21"/>
        </w:rPr>
        <w:t>1项、杭州市医药卫生科技重大项目1项等多项课题。先后荣获市科技进步二等奖1项，省医药卫生科技创新二等奖1项等多个获奖。近年在SCI收录杂志及国内核心期刊发表论文40多篇，参编著作3部。</w:t>
      </w:r>
    </w:p>
    <w:p w14:paraId="25FCB281">
      <w:pPr>
        <w:widowControl/>
        <w:spacing w:line="360" w:lineRule="auto"/>
        <w:rPr>
          <w:rFonts w:hint="eastAsia" w:ascii="Calibri" w:hAnsi="Calibri" w:eastAsia="宋体" w:cs="Calibri"/>
          <w:kern w:val="0"/>
          <w:szCs w:val="21"/>
        </w:rPr>
      </w:pPr>
    </w:p>
    <w:p w14:paraId="5BBCD40A">
      <w:pPr>
        <w:widowControl/>
        <w:rPr>
          <w:rFonts w:ascii="Calibri" w:hAnsi="Calibri" w:eastAsia="宋体" w:cs="Calibri"/>
          <w:kern w:val="0"/>
          <w:szCs w:val="21"/>
        </w:rPr>
      </w:pPr>
    </w:p>
    <w:p w14:paraId="2B73B5C7">
      <w:pPr>
        <w:widowControl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代表论文</w:t>
      </w:r>
    </w:p>
    <w:p w14:paraId="65C82552"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Lu J, Wu Y, Zhan S, Zhong Y, Guo Y, Gao J, Zhang B, Dong X, Che J,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Xu Y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. A Microenvironment-responsive small-molecule probe and application in quick acute myocardial infarction imaging. Talanta. 2024 Apr 1;270:125571. </w:t>
      </w:r>
    </w:p>
    <w:p w14:paraId="612A85B8"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Chen X, Liu C, Zhao H, Zhong Y,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Xu Y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, Wang Y. Deep learning-assisted high-content screening identifies isoliquiritigenin as an inhibitor of DNA double-strand breaks for preventing doxorubicin-induced cardiotoxicity. Biol Direct. 2023 Oct 9;18(1):63.</w:t>
      </w:r>
    </w:p>
    <w:p w14:paraId="2566EFA5"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Xu L, He D, Wu Y, Shen L, Wang Y,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Xu Y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. Tanshinone IIA inhibits cardiomyocyte apoptosis and rescues cardiac function during doxorubicin-induced cardiotoxicity by activating the DAXX/MEK/ERK1/2 pathway. Phytomedicine. 2022 Dec;107:154471.</w:t>
      </w:r>
    </w:p>
    <w:p w14:paraId="43F3EE83">
      <w:pPr>
        <w:widowControl/>
        <w:numPr>
          <w:ilvl w:val="0"/>
          <w:numId w:val="1"/>
        </w:numPr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Wu Y, Zhan S, Chen L, Sun M, Li M, Mou X, Zhang Z, Xu L,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Xu Y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. TNFSF14/LIGHT promotes cardiac fibrosis and atrial fibrillation vulnerability via PI3Kγ/SGK1 pathway-dependent M2 macrophage polarisation. J Transl Med. 2023 Aug 14;21(1):544.</w:t>
      </w:r>
    </w:p>
    <w:p w14:paraId="093DE347">
      <w:pPr>
        <w:widowControl/>
        <w:numPr>
          <w:ilvl w:val="0"/>
          <w:numId w:val="1"/>
        </w:numPr>
        <w:spacing w:line="360" w:lineRule="auto"/>
        <w:jc w:val="both"/>
        <w:rPr>
          <w:rFonts w:hint="eastAsia" w:ascii="Times New Roman" w:hAnsi="Times New Roman" w:eastAsia="宋体" w:cs="Times New Roman"/>
          <w:color w:val="000000"/>
          <w:kern w:val="0"/>
          <w:szCs w:val="21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 xml:space="preserve">Zhong Y, Li M, Zhang X, Chen L, Wang Y, 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0"/>
          <w:szCs w:val="21"/>
        </w:rPr>
        <w:t>Xu Y</w:t>
      </w:r>
      <w:r>
        <w:rPr>
          <w:rFonts w:hint="eastAsia" w:ascii="Times New Roman" w:hAnsi="Times New Roman" w:eastAsia="宋体" w:cs="Times New Roman"/>
          <w:color w:val="000000"/>
          <w:kern w:val="0"/>
          <w:szCs w:val="21"/>
        </w:rPr>
        <w:t>. Dissecting Chemical Composition and Cardioprotective Effects of Fuzhengkangfu Decoction against Doxorubicin-Induced Cardiotoxicity by LC-MS and Bioinformatics Approaches. ACS Omega. 2020 Jun 1;5(23):14051-14060.</w:t>
      </w:r>
    </w:p>
    <w:p w14:paraId="0A298AE4">
      <w:pPr>
        <w:widowControl/>
        <w:rPr>
          <w:rFonts w:ascii="Calibri" w:hAnsi="Calibri" w:eastAsia="宋体" w:cs="Calibri"/>
          <w:kern w:val="0"/>
          <w:szCs w:val="21"/>
        </w:rPr>
      </w:pPr>
    </w:p>
    <w:p w14:paraId="77E90B6C">
      <w:pPr>
        <w:widowControl/>
        <w:rPr>
          <w:rFonts w:ascii="Calibri" w:hAnsi="Calibri" w:eastAsia="宋体" w:cs="Calibri"/>
          <w:kern w:val="0"/>
          <w:szCs w:val="21"/>
        </w:rPr>
      </w:pPr>
    </w:p>
    <w:p w14:paraId="24F1FF9E">
      <w:pPr>
        <w:widowControl/>
        <w:rPr>
          <w:rFonts w:ascii="Calibri" w:hAnsi="Calibri" w:eastAsia="宋体" w:cs="Calibri"/>
          <w:kern w:val="0"/>
          <w:szCs w:val="21"/>
        </w:rPr>
      </w:pPr>
    </w:p>
    <w:p w14:paraId="5DF96FED">
      <w:pPr>
        <w:widowControl/>
        <w:spacing w:line="360" w:lineRule="auto"/>
        <w:rPr>
          <w:rFonts w:ascii="Calibri" w:hAnsi="Calibri" w:eastAsia="宋体" w:cs="Calibri"/>
          <w:b/>
          <w:bCs/>
          <w:color w:val="009DAB"/>
          <w:kern w:val="0"/>
          <w:szCs w:val="21"/>
        </w:rPr>
      </w:pPr>
      <w:r>
        <w:rPr>
          <w:rFonts w:hint="eastAsia" w:ascii="宋体" w:hAnsi="宋体" w:eastAsia="宋体" w:cs="Calibri"/>
          <w:b/>
          <w:bCs/>
          <w:color w:val="009DAB"/>
          <w:kern w:val="0"/>
          <w:szCs w:val="21"/>
        </w:rPr>
        <w:t>联系方式</w:t>
      </w:r>
    </w:p>
    <w:p w14:paraId="2A31D87D">
      <w:pPr>
        <w:widowControl/>
        <w:spacing w:line="360" w:lineRule="auto"/>
        <w:rPr>
          <w:rFonts w:hint="default" w:ascii="Calibri" w:hAnsi="Calibri" w:eastAsia="宋体" w:cs="Calibri"/>
          <w:kern w:val="0"/>
          <w:szCs w:val="21"/>
          <w:lang w:val="en-US" w:eastAsia="zh-CN"/>
        </w:rPr>
      </w:pPr>
      <w:r>
        <w:rPr>
          <w:rFonts w:hint="eastAsia" w:ascii="Calibri" w:hAnsi="Calibri" w:eastAsia="宋体" w:cs="Calibri"/>
          <w:kern w:val="0"/>
          <w:szCs w:val="21"/>
        </w:rPr>
        <w:t>办公室号码：0571-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56006961</w:t>
      </w:r>
    </w:p>
    <w:p w14:paraId="4AF33B5C">
      <w:pPr>
        <w:widowControl/>
        <w:spacing w:line="360" w:lineRule="auto"/>
        <w:rPr>
          <w:rFonts w:hint="default" w:ascii="Calibri" w:hAnsi="Calibri" w:eastAsia="宋体" w:cs="Calibri"/>
          <w:kern w:val="0"/>
          <w:szCs w:val="21"/>
          <w:lang w:val="en-US" w:eastAsia="zh-CN"/>
        </w:rPr>
      </w:pPr>
      <w:r>
        <w:rPr>
          <w:rFonts w:hint="eastAsia" w:ascii="Calibri" w:hAnsi="Calibri" w:eastAsia="宋体" w:cs="Calibri"/>
          <w:kern w:val="0"/>
          <w:szCs w:val="21"/>
        </w:rPr>
        <w:t>手机号码：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13357109696</w:t>
      </w:r>
    </w:p>
    <w:p w14:paraId="453047E5">
      <w:pPr>
        <w:widowControl/>
        <w:spacing w:line="360" w:lineRule="auto"/>
        <w:rPr>
          <w:rFonts w:ascii="宋体" w:hAnsi="宋体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</w:rPr>
        <w:t>电子邮箱</w:t>
      </w:r>
      <w:r>
        <w:rPr>
          <w:rFonts w:hint="eastAsia" w:ascii="Calibri" w:hAnsi="Calibri" w:eastAsia="宋体" w:cs="Calibri"/>
          <w:kern w:val="0"/>
          <w:szCs w:val="21"/>
          <w:lang w:val="en-US" w:eastAsia="zh-CN"/>
        </w:rPr>
        <w:t>：qqyzxu@hotmail.com</w:t>
      </w:r>
    </w:p>
    <w:p w14:paraId="3A661D04">
      <w:pPr>
        <w:widowControl/>
        <w:spacing w:line="360" w:lineRule="auto"/>
        <w:rPr>
          <w:rFonts w:ascii="宋体" w:hAnsi="宋体" w:eastAsia="宋体" w:cs="Calibri"/>
          <w:kern w:val="0"/>
          <w:szCs w:val="21"/>
        </w:rPr>
      </w:pPr>
      <w:r>
        <w:rPr>
          <w:rFonts w:hint="eastAsia" w:ascii="宋体" w:hAnsi="宋体" w:eastAsia="宋体" w:cs="Calibri"/>
          <w:kern w:val="0"/>
          <w:szCs w:val="21"/>
        </w:rPr>
        <w:t>欢迎博士生、博士后、和科研助理申请加入我们的团队！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AA0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99"/>
    <w:rPr>
      <w:sz w:val="18"/>
      <w:szCs w:val="18"/>
    </w:rPr>
  </w:style>
  <w:style w:type="paragraph" w:styleId="3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iPriority w:val="99"/>
    <w:rPr>
      <w:color w:val="0000FF"/>
      <w:u w:val="single"/>
    </w:rPr>
  </w:style>
  <w:style w:type="paragraph" w:customStyle="1" w:styleId="11">
    <w:name w:val="nam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school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3">
    <w:name w:val="pos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5">
    <w:name w:val="批注框文本 Char"/>
    <w:basedOn w:val="7"/>
    <w:link w:val="2"/>
    <w:uiPriority w:val="99"/>
    <w:rPr>
      <w:sz w:val="18"/>
      <w:szCs w:val="18"/>
    </w:rPr>
  </w:style>
  <w:style w:type="character" w:customStyle="1" w:styleId="16">
    <w:name w:val="页眉 Char"/>
    <w:basedOn w:val="7"/>
    <w:link w:val="4"/>
    <w:uiPriority w:val="99"/>
    <w:rPr>
      <w:sz w:val="18"/>
      <w:szCs w:val="18"/>
    </w:rPr>
  </w:style>
  <w:style w:type="character" w:customStyle="1" w:styleId="17">
    <w:name w:val="页脚 Char"/>
    <w:basedOn w:val="7"/>
    <w:link w:val="3"/>
    <w:uiPriority w:val="99"/>
    <w:rPr>
      <w:sz w:val="18"/>
      <w:szCs w:val="18"/>
    </w:rPr>
  </w:style>
  <w:style w:type="character" w:customStyle="1" w:styleId="18">
    <w:name w:val="docsum-authors"/>
    <w:basedOn w:val="7"/>
    <w:uiPriority w:val="0"/>
  </w:style>
  <w:style w:type="character" w:customStyle="1" w:styleId="19">
    <w:name w:val="docsum-journal-citation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1299</Words>
  <Characters>2247</Characters>
  <Paragraphs>31</Paragraphs>
  <TotalTime>0</TotalTime>
  <ScaleCrop>false</ScaleCrop>
  <LinksUpToDate>false</LinksUpToDate>
  <CharactersWithSpaces>2425</CharactersWithSpaces>
  <Application>WPS Office_6.14.0.8924_F1E327BC-269C-435d-A152-05C5408002CA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2024-03-21T09:06:00Z</dcterms:created>
  <dc:creator>林能明</dc:creator>
  <cp:lastModifiedBy>张方捷</cp:lastModifiedBy>
  <dcterms:modified xsi:type="dcterms:W3CDTF">2026-01-26T09:37:01Z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2f669ea48b974ff4bf5927049f35b9fa_23</vt:lpwstr>
  </property>
</Properties>
</file>